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苏州市吴江区政府采购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项目编号：JSZC-320509-SZAD-G2026-0002</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招标单位：苏州市吴江区盛泽镇人民政府</w:t>
      </w:r>
      <w:r/>
    </w:p>
    <w:p>
      <w:pPr>
        <w:ind w:left="2885" w:right="0" w:hanging="16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项目内容：吴江区盛泽镇交通设施三年提升项目（2026）</w:t>
      </w:r>
      <w:r/>
    </w:p>
    <w:p>
      <w:pPr>
        <w:ind w:left="0" w:right="0" w:firstLine="1285"/>
        <w:jc w:val="both"/>
        <w:spacing w:before="0" w:after="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招标类别：服务类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6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苏州爱达招投标有限公司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前附表</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4"/>
        <w:gridCol w:w="1558"/>
        <w:gridCol w:w="6027"/>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               容</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JSZC-320509-SZAD-G2026-0002</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吴江区盛泽镇交通设施三年提升项目（2026）</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名称：苏州爱达招投标有限公司</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地址：苏州市吴江区交通北路3418号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联系人：姚嘉芸</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联系电话：0512-63258111/18015563976</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名称：苏州市吴江区盛泽镇人民政府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地址：苏州市吴江区盛泽镇舜湖西路2099号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联系人：师纪鹏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联系电话：0512-63552228</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标书组成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详见招标文件第二章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本项目不收取投标保证金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九十天（日历日）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获取招标文件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投标文件网上</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2026年08月06日9:30（北京时间）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投标文件必须在截止时间前完成提交（上传），逾期提交（上传）的投标文件恕不接受。</w:t>
            </w:r>
            <w:r/>
          </w:p>
        </w:tc>
      </w:tr>
      <w:tr>
        <w:trPr>
          <w:trHeight w:val="1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2026年08月06日9:30（北京时间）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w:t>
            </w:r>
            <w:hyperlink r:id="rId11" w:tooltip="http://jszfcg.jsczt.cn/" w:history="1">
              <w:r>
                <w:rPr>
                  <w:rStyle w:val="978"/>
                  <w:rFonts w:ascii="SimSun" w:hAnsi="SimSun" w:eastAsia="SimSun" w:cs="SimSun"/>
                  <w:color w:val="0000ee"/>
                  <w:sz w:val="21"/>
                  <w:u w:val="none"/>
                </w:rPr>
                <w:t xml:space="preserve">http://jszfcg.jsczt.cn/</w:t>
              </w:r>
            </w:hyperlink>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本项目为不见面公开标项目，开启阶段供应商在【供应商解密】环节必须使用 CA证书解密电子响应文件，如在系统规定的解密时间内未能完成解密的视为放弃参与本项目。</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时间：2026年08月06日9:30（北京时间）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地点：苏州市公共资源交易中心吴江分中心开标室（吴江区开平路998号三楼）</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本项目采用电子投标文件，投标人按照招标文件要求制作上传电子投标文件，投标人无需提供纸质投标文件。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合同金额的5%，签订合同前，乙方须按成交金额的5%向甲方交纳履约保函。履约保函待验收合格后5日内由保函收取部门退回。</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确定出中标人后，代理机构在法定时间内向中标人发出中标通知书。中标通知书将成为合同的组成部分。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请中标人在中标结果公告届满之日起30日内,使用CA证书登录“苏采云”系统及时下载中标通知书。</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出现下列情形之一的，为废标： </w:t>
            </w:r>
            <w:r/>
          </w:p>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（一）符合专业条件的投标人或者对招标文件作实质响应的投标人不足三家的；</w:t>
            </w:r>
            <w:r/>
          </w:p>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（二）出现影响招标公正的违法、违规行为的； </w:t>
            </w:r>
            <w:r/>
          </w:p>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（三）投标人的报价均超过了招标预算，招标单位不能支付的； </w:t>
            </w:r>
            <w:r/>
          </w:p>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（四）因重大变故，招标任务取消的。</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投标文件属下列情况之一的，在资格性、符合性检查时按照无效投标处理：</w:t>
            </w:r>
            <w:r/>
          </w:p>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（一）未按照招标文件规定要求签署、盖章的；</w:t>
            </w:r>
            <w:r/>
          </w:p>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（二）不具备招标文件中规定资格要求的；</w:t>
            </w:r>
            <w:r/>
          </w:p>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（三）报价超过招标文件中规定的预算金额或者最高限价的；</w:t>
            </w:r>
            <w:r/>
          </w:p>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（四）投标文件含有招标单位不能接受的附加条件的；</w:t>
            </w:r>
            <w:r/>
          </w:p>
          <w:p>
            <w:pPr>
              <w:ind w:left="0" w:right="0" w:firstLine="0"/>
              <w:spacing w:before="0" w:after="0" w:line="439"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（五）法律、法规和招标文件规定的其他无效情形。</w:t>
            </w:r>
            <w:r/>
          </w:p>
        </w:tc>
      </w:tr>
    </w:tbl>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10430624" w:history="1">
            <w:r>
              <w:rPr>
                <w:rStyle w:val="978"/>
                <w:rFonts w:ascii="SimSun" w:hAnsi="SimSun" w:eastAsia="SimSun" w:cs="SimSun"/>
                <w:color w:val="0000ee"/>
                <w:sz w:val="24"/>
                <w:u w:val="single"/>
              </w:rPr>
              <w:t xml:space="preserve">第一章</w:t>
            </w:r>
            <w:r>
              <w:rPr>
                <w:rStyle w:val="978"/>
                <w:rFonts w:ascii="Times New Roman" w:hAnsi="Times New Roman" w:eastAsia="Times New Roman" w:cs="Times New Roman"/>
                <w:color w:val="0000ee"/>
                <w:sz w:val="24"/>
                <w:u w:val="none"/>
              </w:rPr>
              <w:t xml:space="preserve"> </w:t>
            </w:r>
            <w:r>
              <w:rPr>
                <w:rStyle w:val="978"/>
                <w:rFonts w:ascii="SimSun" w:hAnsi="SimSun" w:eastAsia="SimSun" w:cs="SimSun"/>
                <w:color w:val="0000ee"/>
                <w:sz w:val="24"/>
                <w:u w:val="single"/>
              </w:rPr>
              <w:t xml:space="preserve">投标邀请函</w:t>
            </w:r>
            <w:r>
              <w:rPr>
                <w:rStyle w:val="978"/>
                <w:rFonts w:ascii="Times New Roman" w:hAnsi="Times New Roman" w:eastAsia="Times New Roman" w:cs="Times New Roman"/>
                <w:color w:val="0000ee"/>
                <w:sz w:val="24"/>
                <w:u w:val="single"/>
              </w:rPr>
              <w:tab/>
              <w:t xml:space="preserve">1</w:t>
            </w:r>
          </w:hyperlink>
          <w:r/>
          <w:r/>
        </w:p>
        <w:p>
          <w:pPr>
            <w:ind w:left="0" w:right="0" w:firstLine="0"/>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投标人须知</w:t>
          </w:r>
          <w:r>
            <w:rPr>
              <w:rFonts w:ascii="Times New Roman" w:hAnsi="Times New Roman" w:eastAsia="Times New Roman" w:cs="Times New Roman"/>
              <w:color w:val="000000"/>
              <w:sz w:val="24"/>
            </w:rPr>
            <w:tab/>
            <w:t xml:space="preserve">6</w:t>
          </w:r>
          <w:r/>
        </w:p>
        <w:p>
          <w:pPr>
            <w:ind w:left="0" w:right="0" w:firstLine="0"/>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10430642" w:history="1">
            <w:r>
              <w:rPr>
                <w:rStyle w:val="978"/>
                <w:rFonts w:ascii="SimSun" w:hAnsi="SimSun" w:eastAsia="SimSun" w:cs="SimSun"/>
                <w:color w:val="0000ee"/>
                <w:sz w:val="24"/>
                <w:u w:val="single"/>
              </w:rPr>
              <w:t xml:space="preserve">第三章</w:t>
            </w:r>
            <w:r>
              <w:rPr>
                <w:rStyle w:val="978"/>
                <w:rFonts w:ascii="Times New Roman" w:hAnsi="Times New Roman" w:eastAsia="Times New Roman" w:cs="Times New Roman"/>
                <w:color w:val="0000ee"/>
                <w:sz w:val="24"/>
                <w:u w:val="none"/>
              </w:rPr>
              <w:t xml:space="preserve"> </w:t>
            </w:r>
            <w:r>
              <w:rPr>
                <w:rStyle w:val="978"/>
                <w:rFonts w:ascii="SimSun" w:hAnsi="SimSun" w:eastAsia="SimSun" w:cs="SimSun"/>
                <w:color w:val="0000ee"/>
                <w:sz w:val="24"/>
                <w:u w:val="single"/>
              </w:rPr>
              <w:t xml:space="preserve">投标文件格式</w:t>
            </w:r>
            <w:r>
              <w:rPr>
                <w:rStyle w:val="978"/>
                <w:rFonts w:ascii="Times New Roman" w:hAnsi="Times New Roman" w:eastAsia="Times New Roman" w:cs="Times New Roman"/>
                <w:color w:val="0000ee"/>
                <w:sz w:val="24"/>
                <w:u w:val="single"/>
              </w:rPr>
              <w:tab/>
            </w:r>
          </w:hyperlink>
          <w:r>
            <w:rPr>
              <w:rFonts w:ascii="Times New Roman" w:hAnsi="Times New Roman" w:eastAsia="Times New Roman" w:cs="Times New Roman"/>
              <w:color w:val="000000"/>
              <w:sz w:val="24"/>
            </w:rPr>
            <w:t xml:space="preserve">20</w:t>
          </w:r>
          <w:r/>
        </w:p>
        <w:p>
          <w:pPr>
            <w:ind w:left="0" w:right="0" w:firstLine="0"/>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10430643" w:history="1">
            <w:r>
              <w:rPr>
                <w:rStyle w:val="978"/>
                <w:rFonts w:ascii="SimSun" w:hAnsi="SimSun" w:eastAsia="SimSun" w:cs="SimSun"/>
                <w:color w:val="0000ee"/>
                <w:sz w:val="24"/>
                <w:u w:val="single"/>
              </w:rPr>
              <w:t xml:space="preserve">第四章</w:t>
            </w:r>
            <w:r>
              <w:rPr>
                <w:rStyle w:val="978"/>
                <w:rFonts w:ascii="SimSun" w:hAnsi="SimSun" w:eastAsia="SimSun" w:cs="SimSun"/>
                <w:color w:val="0000ee"/>
                <w:sz w:val="24"/>
                <w:u w:val="none"/>
              </w:rPr>
              <w:t xml:space="preserve"> </w:t>
            </w:r>
            <w:r>
              <w:rPr>
                <w:rStyle w:val="978"/>
                <w:rFonts w:ascii="SimSun" w:hAnsi="SimSun" w:eastAsia="SimSun" w:cs="SimSun"/>
                <w:color w:val="0000ee"/>
                <w:sz w:val="24"/>
                <w:u w:val="single"/>
              </w:rPr>
              <w:t xml:space="preserve">招标内容</w:t>
            </w:r>
            <w:r>
              <w:rPr>
                <w:rStyle w:val="978"/>
                <w:rFonts w:ascii="Times New Roman" w:hAnsi="Times New Roman" w:eastAsia="Times New Roman" w:cs="Times New Roman"/>
                <w:color w:val="0000ee"/>
                <w:sz w:val="24"/>
                <w:u w:val="single"/>
              </w:rPr>
              <w:tab/>
            </w:r>
          </w:hyperlink>
          <w:r>
            <w:rPr>
              <w:rFonts w:ascii="Times New Roman" w:hAnsi="Times New Roman" w:eastAsia="Times New Roman" w:cs="Times New Roman"/>
              <w:color w:val="000000"/>
              <w:sz w:val="24"/>
            </w:rPr>
            <w:t xml:space="preserve">45</w:t>
          </w:r>
          <w:r/>
        </w:p>
        <w:p>
          <w:pPr>
            <w:ind w:left="0" w:right="0" w:firstLine="0"/>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10430644" w:history="1">
            <w:r>
              <w:rPr>
                <w:rStyle w:val="978"/>
                <w:rFonts w:ascii="SimSun" w:hAnsi="SimSun" w:eastAsia="SimSun" w:cs="SimSun"/>
                <w:color w:val="0000ee"/>
                <w:sz w:val="24"/>
                <w:u w:val="single"/>
              </w:rPr>
              <w:t xml:space="preserve">第五章</w:t>
            </w:r>
            <w:r>
              <w:rPr>
                <w:rStyle w:val="978"/>
                <w:rFonts w:ascii="SimSun" w:hAnsi="SimSun" w:eastAsia="SimSun" w:cs="SimSun"/>
                <w:color w:val="0000ee"/>
                <w:sz w:val="24"/>
                <w:u w:val="none"/>
              </w:rPr>
              <w:t xml:space="preserve"> </w:t>
            </w:r>
            <w:r>
              <w:rPr>
                <w:rStyle w:val="978"/>
                <w:rFonts w:ascii="SimSun" w:hAnsi="SimSun" w:eastAsia="SimSun" w:cs="SimSun"/>
                <w:color w:val="0000ee"/>
                <w:sz w:val="24"/>
                <w:u w:val="single"/>
              </w:rPr>
              <w:t xml:space="preserve">合同条款及格式</w:t>
            </w:r>
            <w:r>
              <w:rPr>
                <w:rStyle w:val="978"/>
                <w:rFonts w:ascii="Times New Roman" w:hAnsi="Times New Roman" w:eastAsia="Times New Roman" w:cs="Times New Roman"/>
                <w:color w:val="0000ee"/>
                <w:sz w:val="24"/>
                <w:u w:val="single"/>
              </w:rPr>
              <w:tab/>
            </w:r>
          </w:hyperlink>
          <w:r>
            <w:rPr>
              <w:rFonts w:ascii="Times New Roman" w:hAnsi="Times New Roman" w:eastAsia="Times New Roman" w:cs="Times New Roman"/>
              <w:color w:val="000000"/>
              <w:sz w:val="24"/>
            </w:rPr>
            <w:t xml:space="preserve">55</w:t>
          </w:r>
          <w:r/>
        </w:p>
        <w:p>
          <w:pPr>
            <w:ind w:left="0" w:right="0" w:firstLine="0"/>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10430645" w:history="1">
            <w:r>
              <w:rPr>
                <w:rStyle w:val="978"/>
                <w:rFonts w:ascii="SimSun" w:hAnsi="SimSun" w:eastAsia="SimSun" w:cs="SimSun"/>
                <w:color w:val="0000ee"/>
                <w:sz w:val="24"/>
                <w:u w:val="single"/>
              </w:rPr>
              <w:t xml:space="preserve">第六章</w:t>
            </w:r>
            <w:r>
              <w:rPr>
                <w:rStyle w:val="978"/>
                <w:rFonts w:ascii="SimSun" w:hAnsi="SimSun" w:eastAsia="SimSun" w:cs="SimSun"/>
                <w:color w:val="0000ee"/>
                <w:sz w:val="24"/>
                <w:u w:val="none"/>
              </w:rPr>
              <w:t xml:space="preserve"> </w:t>
            </w:r>
            <w:r>
              <w:rPr>
                <w:rStyle w:val="978"/>
                <w:rFonts w:ascii="SimSun" w:hAnsi="SimSun" w:eastAsia="SimSun" w:cs="SimSun"/>
                <w:color w:val="0000ee"/>
                <w:sz w:val="24"/>
                <w:u w:val="single"/>
              </w:rPr>
              <w:t xml:space="preserve">评标办法及评分标准</w:t>
            </w:r>
            <w:r>
              <w:rPr>
                <w:rStyle w:val="978"/>
                <w:rFonts w:ascii="Times New Roman" w:hAnsi="Times New Roman" w:eastAsia="Times New Roman" w:cs="Times New Roman"/>
                <w:color w:val="0000ee"/>
                <w:sz w:val="24"/>
                <w:u w:val="single"/>
              </w:rPr>
              <w:tab/>
            </w:r>
          </w:hyperlink>
          <w:r>
            <w:rPr>
              <w:rFonts w:ascii="Times New Roman" w:hAnsi="Times New Roman" w:eastAsia="Times New Roman" w:cs="Times New Roman"/>
              <w:color w:val="000000"/>
              <w:sz w:val="24"/>
            </w:rPr>
            <w:t xml:space="preserve">61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943"/>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w:t>
      </w:r>
      <w:r>
        <w:rPr>
          <w:rFonts w:ascii="SimSun" w:hAnsi="SimSun" w:eastAsia="SimSun" w:cs="SimSun"/>
          <w:color w:val="000000"/>
          <w:sz w:val="21"/>
          <w:u w:val="single"/>
        </w:rPr>
        <w:t xml:space="preserve">苏州市吴江区盛泽镇人民政府</w:t>
      </w:r>
      <w:r>
        <w:rPr>
          <w:rFonts w:ascii="SimSun" w:hAnsi="SimSun" w:eastAsia="SimSun" w:cs="SimSun"/>
          <w:color w:val="000000"/>
          <w:sz w:val="21"/>
        </w:rPr>
        <w:t xml:space="preserve">的委托，我公司苏州爱达招投标有限公司就其所需的</w:t>
      </w:r>
      <w:r>
        <w:rPr>
          <w:rFonts w:ascii="SimSun" w:hAnsi="SimSun" w:eastAsia="SimSun" w:cs="SimSun"/>
          <w:color w:val="000000"/>
          <w:sz w:val="21"/>
          <w:u w:val="single"/>
        </w:rPr>
        <w:t xml:space="preserve">吴江区盛泽镇交通设施三年提升项目（2026）</w:t>
      </w:r>
      <w:r>
        <w:rPr>
          <w:rFonts w:ascii="SimSun" w:hAnsi="SimSun" w:eastAsia="SimSun" w:cs="SimSun"/>
          <w:color w:val="000000"/>
          <w:sz w:val="21"/>
        </w:rPr>
        <w:t xml:space="preserve">采用公开招标方式进行采购，欢迎符合资格条件的供应商前来参加。</w:t>
      </w:r>
      <w:r/>
    </w:p>
    <w:p>
      <w:pPr>
        <w:pStyle w:val="945"/>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项目编号：JSZC-320509-SZAD-G2026-0002</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项目名称：吴江区盛泽镇交通设施三年提升项目（2026）</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预算金额：人民币肆佰零玖万元整（￥：4090000.00元）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所属行业：租赁和商务服务业</w:t>
      </w:r>
      <w:r/>
    </w:p>
    <w:p>
      <w:pPr>
        <w:pStyle w:val="945"/>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二、釆购需求：</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8"/>
        <w:gridCol w:w="3306"/>
        <w:gridCol w:w="2436"/>
        <w:gridCol w:w="2436"/>
      </w:tblGrid>
      <w:tr>
        <w:trPr>
          <w:trHeight w:val="564"/>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标段名称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r>
      <w:tr>
        <w:trPr>
          <w:trHeight w:val="1114"/>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吴江区盛泽镇交通设施三年提升项目（2026）第一标段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壹佰捌拾玖万元整（￥1890000.00）</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三年（自所有标的物均正常通过验收并开始服务之日起）。</w:t>
            </w:r>
            <w:r/>
          </w:p>
        </w:tc>
      </w:tr>
      <w:tr>
        <w:trPr>
          <w:trHeight w:val="121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吴江区盛泽镇交通设施三年提升项目（2026）第二标段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壹佰肆拾万元整（￥1400000.00）</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121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吴江区盛泽镇交通设施三年提升项目（2026）第三标段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捌拾万元整（￥800000.00）</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分标段招标，进入每个标段评审的实质性响应且具有得标权的投标单位不得少于三家，如不足三家，认定该标段招标失败。已递交某标段投标文件且实质性响应招标需求，但已在前期各标段评审中获得了招标文件规定的得标上限数的投标单位，不再具有该标段的得标权，不应计入该标段的实质性响应投标单位数量内。本次招标项目共三个标段，允许一个投标单位报名多个标段，但一个投标单位最多只能就其中一个标段中标，标段开标顺序按标段号顺序确定。每个标段中标单位为一名。</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color w:val="000000"/>
          <w:sz w:val="21"/>
          <w:u w:val="single"/>
        </w:rPr>
        <w:t xml:space="preserve">不</w:t>
      </w:r>
      <w:r>
        <w:rPr>
          <w:rFonts w:ascii="SimSun" w:hAnsi="SimSun" w:eastAsia="SimSun" w:cs="SimSun"/>
          <w:color w:val="000000"/>
          <w:sz w:val="21"/>
        </w:rPr>
        <w:t xml:space="preserve">接受联合投标。</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color w:val="000000"/>
          <w:sz w:val="21"/>
          <w:u w:val="single"/>
        </w:rPr>
        <w:t xml:space="preserve">不</w:t>
      </w:r>
      <w:r>
        <w:rPr>
          <w:rFonts w:ascii="SimSun" w:hAnsi="SimSun" w:eastAsia="SimSun" w:cs="SimSun"/>
          <w:color w:val="000000"/>
          <w:sz w:val="21"/>
        </w:rPr>
        <w:t xml:space="preserve">允许进口产品投标。</w:t>
      </w:r>
      <w:r/>
    </w:p>
    <w:p>
      <w:pPr>
        <w:pStyle w:val="945"/>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1.满足《中华人民共和国政府采购法》第二十二条规定，投标人应当具备下列条件：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2.落实政府采购政策需满足的资格要求：本项目非专门面向中小企业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45"/>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w:t>
      </w:r>
      <w:r>
        <w:rPr>
          <w:rFonts w:ascii="SimSun" w:hAnsi="SimSun" w:eastAsia="SimSun" w:cs="SimSun"/>
          <w:b/>
          <w:color w:val="000000"/>
          <w:sz w:val="21"/>
        </w:rPr>
        <w:t xml:space="preserve">、获取招标文件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1.本项目实行供应商网上报名，网上报名截止时间：自公告发布之日起5个工作日。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2.报名流程：</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（1）CA证书办理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w:t>
      </w:r>
      <w:r>
        <w:rPr>
          <w:rFonts w:ascii="SimSun" w:hAnsi="SimSun" w:eastAsia="SimSun" w:cs="SimSun"/>
          <w:color w:val="000000"/>
          <w:sz w:val="21"/>
        </w:rPr>
        <w:t xml:space="preserve">34。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（2）参与采购活动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（3）电子投标准备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（4）补充通知</w:t>
      </w:r>
      <w:r>
        <w:rPr>
          <w:rFonts w:ascii="SimSun" w:hAnsi="SimSun" w:eastAsia="SimSun" w:cs="SimSun"/>
          <w:color w:val="000000"/>
          <w:sz w:val="21"/>
        </w:rPr>
        <w:t xml:space="preserve">（如有）。成功获取文件的供应商通过“苏州市政府采购网”或“苏采云”系统自行查看所报项目的补充通知。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3.在网上报名过程中如有疑问，请按以下方式联系：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注册咨询：18261002950；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CA技术咨询电话：400-608-6099；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签章使用问题：025-83633811、025-83633812、15380932027、15371015030；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系统使用指导与咨询：联系电话：18261002950；QQ：3048755361、1315179389、895706745。</w:t>
      </w:r>
      <w:r/>
    </w:p>
    <w:p>
      <w:pPr>
        <w:pStyle w:val="945"/>
        <w:ind w:left="41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五、提交投标文件截止时间、开标时间和地点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1.提交投标文件截止时间：</w:t>
      </w:r>
      <w:r>
        <w:rPr>
          <w:rFonts w:ascii="SimSun" w:hAnsi="SimSun" w:eastAsia="SimSun" w:cs="SimSun"/>
          <w:color w:val="000000"/>
          <w:sz w:val="21"/>
        </w:rPr>
        <w:t xml:space="preserve">2026年08月06日9:30（北京时间）；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2.开标时间：2026年08月06日9:30（北京时间）；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3.开标地点：“苏采云”系统（网址：http://jszfcg.jsczt.cn/）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SimSun" w:hAnsi="SimSun" w:eastAsia="SimSun" w:cs="SimSun"/>
          <w:b/>
          <w:color w:val="000000"/>
          <w:sz w:val="21"/>
        </w:rPr>
        <w:t xml:space="preserve">供应商应充分考虑到网络环境、网络带宽等风险因素，如因供应商自身原因造成的电子投标文件上传不成功由供应商自行承担全部责任。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本项目为不见面开标项目，开标阶段供应商在【供应商解密】环节必须使用 CA证书解密电子投标文件，如在系统规定的解密时间内未能完成解密的视为放弃投标。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请供应商确保电脑、系统及其他设备（视频输入输出设备等）无误，且开标直至项目结束始终保持系统在线状态。</w:t>
      </w:r>
      <w:r/>
    </w:p>
    <w:p>
      <w:pPr>
        <w:pStyle w:val="945"/>
        <w:ind w:left="41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945"/>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w:t>
      </w:r>
      <w:r>
        <w:rPr>
          <w:rFonts w:ascii="SimSun" w:hAnsi="SimSun" w:eastAsia="SimSun" w:cs="SimSun"/>
          <w:b/>
          <w:color w:val="000000"/>
          <w:sz w:val="21"/>
        </w:rPr>
        <w:t xml:space="preserve">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1.本项目获取采购文件截止日期之后仍可以下载采购文件，但截止日期之后下载的采购文件，视为非有效方式且不作为供应商权益受到损害的证明材料和依据。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2.本采购信息公告媒体苏州市政府采购网、江苏政府采购网、中国政府采购网。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3.1收费标准：按苏州市吴江区中介超市规定收取，中标单位在领取中标通知书时向采购代理机构一次性付清，本项目代理服务费合计为人民币肆万肆仟壹佰元整（￥44100.00）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第一标段代理服务费：人民币贰万零贰佰捌拾陆元整（￥20286.00）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第二标段代理服务费：人民币壹万肆仟玖佰玖拾肆元整（￥14994.00）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第三标段代理服务费：人民币捌仟捌佰贰拾元整（￥8820.00）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4.本项目由</w:t>
      </w:r>
      <w:r>
        <w:rPr>
          <w:rFonts w:ascii="SimSun" w:hAnsi="SimSun" w:eastAsia="SimSun" w:cs="SimSun"/>
          <w:color w:val="000000"/>
          <w:sz w:val="21"/>
          <w:u w:val="single"/>
        </w:rPr>
        <w:t xml:space="preserve"> 苏州爱达招投标有限公司 </w:t>
      </w:r>
      <w:r>
        <w:rPr>
          <w:rFonts w:ascii="SimSun" w:hAnsi="SimSun" w:eastAsia="SimSun" w:cs="SimSun"/>
          <w:color w:val="000000"/>
          <w:sz w:val="21"/>
        </w:rPr>
        <w:t xml:space="preserve">代理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5.质疑联系方式：</w:t>
      </w:r>
      <w:r/>
    </w:p>
    <w:p>
      <w:pPr>
        <w:ind w:left="46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ind w:left="460" w:right="0" w:firstLine="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址：苏州市吴江区交通北路3418号</w:t>
      </w:r>
      <w:r/>
    </w:p>
    <w:p>
      <w:pPr>
        <w:ind w:left="460" w:right="0" w:firstLine="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联系人：姚嘉芸   联系电话：0512-63258111/18015563976</w:t>
      </w:r>
      <w:r/>
    </w:p>
    <w:p>
      <w:pPr>
        <w:pStyle w:val="945"/>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1.釆购人信息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名称：苏州市吴江区盛泽镇人民政府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地址：苏州市吴江区盛泽镇舜湖西路2099号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联系人：师纪鹏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联系电话：0512-63552228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2.政府釆购代理机构信息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名称：苏州爱达招投标有限公司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地址：苏州市吴江区交通北路3418号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联系方式：0512-63258111/18015563976</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项目联系人：姚嘉芸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联系电话：0512-63258111/18015563976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本次采购的有关信息将在江苏政府采购网、苏州市政府采购网、中国政府采购网等媒体上发布，敬请留意，请各单位获取本次招标采购文件后，认真阅读各项内容，进行必要准备工作，按文件的要求详细填写和编制投标文件，并按以上确定的时间准时参加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943"/>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投标人须知</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一、说明和释义</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1.说明</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1.1本招标文件仅适用苏州爱达招投标有限公司组织的招标活动。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1.2本次招标活动及因本次招标产生的合同受中国法律制约和保护。</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1.3本招标文件的解释权属苏州爱达招投标有限公司。</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2.词语释义</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2.1采购人：指依法进行政府采购的国家机关、事业单位、团体组织。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2.2采购代理机构：指依法接受采购人委托，从事货物、工程和服务等政府采购业务的采购代理机构。本项目的采购代理机构是苏州爱达招投标有限公司。</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2.3投标人：指投标招标、参加投标竞争的法人、其他组织或自然人。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2.4投标：投标人根据采购人或采购代理机构发布的招标文件，编制投标文件并按规定投标的行为。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2.5合同：采供双方根据招标文件和中标的投标文件及中标通知书规定的内容签署的以书面形式所达成的协议，包括所有的附件、附录和构成协议的所有文件。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2.6甲方（采购人）：指招标文件中载明的，依法进行政府采购的国家机关、事业单位、团体组织。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2.7乙方（供应商）：合同中规定的向采购人提供货物和服务的法人或其他组织和自然人。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2.8天：日历日。</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2.9时间：除特别说明，均指北京时间。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2.10知识产权:指专利权、商标权、著作权等无形财产专有权的统称。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2.11交货地点:合同中明确约定的乙方提交的货物和服务最终到达地点。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2.12合同价款:根据合同规定,乙方在正确地履行合同义务后甲方应支付乙方的价款。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2.13服务：系指本次招标文件规定乙方应承担的与提供货物和服务有关的辅助服务，比如运输、保险、安装、调试、提供技术援助、培训、配合措施、维修投标及合同中规定乙方应承担的其它义务。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2.14不可抗力：不能预见、不能避免并且不能克服的客观情况。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2.15实质性投标：满足有关本次采购标的、数量、质量、价款或者报酬、履行期限、履行地点和方式、违约责任和解决争议方法等要求。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2.16进口产品：指通过中国海关报关验放进入中国境内且产自境外的产品。</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2.17书面形式：指书面文字、合同书、信件和传真等可以有形地表现所载内容的形式。</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二、投标人</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3.合格投标人的资格条件：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3.1满足《中华人民共和国政府采购法》第二十二条规定，投标人应当具备下列条件：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3.2落实政府采购政策需满足的资格要求：本项目非专门面向中小企业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3.3本项目的特定资格要求：</w:t>
      </w:r>
      <w:r>
        <w:rPr>
          <w:rFonts w:ascii="SimSun" w:hAnsi="SimSun" w:eastAsia="SimSun" w:cs="SimSun"/>
          <w:b/>
          <w:color w:val="000000"/>
          <w:sz w:val="21"/>
        </w:rPr>
        <w:t xml:space="preserve">无。</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4.投标人代表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4.1指授权全权代表投标人参加投标活动并签署投标文件的人，如果投标人代表不是法人代表，须持有《法定代表人授权委托书》（详见统一格式）。</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5.投标费用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5.1无论投标过程中的做法和结果如何，投标人自行承担所有与参加投标有关的全部费用。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5.2本次招标活动采购人和采购代理机构不收取标书工本费。</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6.联合投标及转包、分包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6.1本项目不接受联合体投标。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6.2本项目不接受转包、分包。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6.3本项目不接受进口产品。</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三、招标文件的说明</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7.招标文件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8.招标文件的澄清和修改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苏州市政府采购网、中国政府采购网对外进行发布。澄清或者修改的内容为招标文件的组成部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澄清或者修改的内容可能影响投标文件编制的，采购人或者采购代理机构应当在投标截止时间至少15日前，并通过江苏政府采购网、苏州市政府采购网、中国政府采购网对外进行发布；不足15日的，采购人或者采购代理机构应当顺延提交投标文件的截止时间。</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对于补充通知（包括更正公告），投标人通过“江苏政府采购网、苏州市政府采购网、中国政府采购网”的“采购公告”自行查看项目的补充通知（包括更正公告）。补充通知（包括更正公告）将作为招标文件的组成部分，对所有投标人有约束力。</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8.4招标文件的澄清、修改、补充等内容均以江苏政府采购网、苏州市政府采购网、中国政府采购网上发布的内容为准。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9.勘察现场（不涉及此条的忽略）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9.1根据自身投标需要，投标人可对有关现场和周围环境进行勘察，以获取编制投标文件和签署合同所需的信息。勘察现场所发生的费用由投标人自己承担。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9.3经采购人允许，投标人可为勘察目的进入采购人的项目现场，但投标人不得因此使采购人承担有关的责任和蒙受损失。投标人应承担勘察现场的责任和风险。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10.投标质疑</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10.2本次招标文件要求供应商在法定质疑期内一次性提出针对同一采购程序环节的质疑，否则不予受理。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10.3供应商提出质疑应当提交质疑函和必要的证明材料，质疑函应当包括下列内容：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（1）供应商的姓名或者名称（以提供的营业执照副本复印件为准）、地址、邮编、联系人及联系电话；</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1"/>
        </w:rPr>
        <w:t xml:space="preserve">授权委托书</w:t>
      </w:r>
      <w:r>
        <w:rPr>
          <w:rFonts w:ascii="SimSun" w:hAnsi="SimSun" w:eastAsia="SimSun" w:cs="SimSun"/>
          <w:color w:val="000000"/>
          <w:sz w:val="21"/>
        </w:rPr>
        <w:t xml:space="preserve">上应当载明代理人的姓名或者名称、代理事项、具体权限、期限和相关事项。</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SimSun" w:hAnsi="SimSun" w:eastAsia="SimSun" w:cs="SimSun"/>
          <w:b/>
          <w:color w:val="000000"/>
          <w:sz w:val="21"/>
        </w:rPr>
        <w:t xml:space="preserve">《投标供应商确认函》</w:t>
      </w:r>
      <w:r>
        <w:rPr>
          <w:rFonts w:ascii="SimSun" w:hAnsi="SimSun" w:eastAsia="SimSun" w:cs="SimSun"/>
          <w:color w:val="000000"/>
          <w:sz w:val="21"/>
        </w:rPr>
        <w:t xml:space="preserve">）与质疑函一起递交，否则不予受理。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10.5接收质疑函的方式：书面形式（当场送达或邮寄方式）。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质疑联系人：姚嘉芸</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联系电话：0512-63258111/18015563976</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现场递交地址：苏州市吴江区交通北路3418号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邮寄收取地址：苏州市吴江区交通北路3418号</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四、投标文件说明</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11.提示与要求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11.1投标人应仔细阅读招标文件的所有内容，应当按照招标文件的要求编制投标文件，并保证所提供全部资料的真实性，以使其投标对招标文件作出实质性投标，否则，其投标可能被拒绝。</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11.2无论是否递交投标文件，投标人都应将招标文件及以后的所有通知、文件等视为保密文件。</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12.投标文件计量单位和使用文字</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12.1投标文件中所使用的计量单位，除招标文件中有特殊要求外，均应使用中华人民共和国法定计量单位。</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13.知识产权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422"/>
        <w:jc w:val="both"/>
        <w:spacing w:before="0" w:after="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14.投标文件的组成</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14.1投标文件</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14.1.1封面</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14.1.2开标一览表</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14.1.3资格审查文件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14.1.3.1具有独立承担民事责任的能力证明。包括法人或者其他组织的营业执照等证明文件，自然人的身份证明；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14.1.3.2具有良好的商业信誉和健全的财务会计制度证明。包括但不限于最近一期经审计的财务报告，其他组织、自然人及成立未满一年的法人应提供银行出具的资信证明。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14.1.3.3响应单位证明其满足合格投标人条件的证书、证明、文件等资料以及响应单位所具备的专业设备和专业技术能力。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14.1.3.4有依法缴纳税收和社会保障资金的良好记录。如税务登记证（如有）和合理期限内依法缴纳税收的凭据，社会保险登记证（如有）和合理期限内依法缴纳社会保险的凭据（专用收据或社会保险缴纳清单）。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14.1.3.5参加政府采购活动前三年内，在经营活动中没有重大违法记录的书面声明函；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14.1.3.6法律、行政法规规定的其他条件；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14.1.3.7《中小企业声明函》或《残疾人福利性单位声明函》或由省级以上监狱管理局、戒毒管理局（含新疆生产建设兵团）出具的属于监狱企业的证明文件（如有）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14.1.3.8未被“信用中国”网站（www.creditchina.gov.cn）列入失信被执行人、重大税收违法案件当事人名单、政府采购严重失信行为记录名单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14.1.3.9单位负责人为同一人或者存在直接控股、管理关系的不同供应商（包含法定代表人为同一个人的两个及两个以上法人，母公司、全资子公司及其控股公司），不得参加同一合同项下的政府采购活动。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14.1.4符合性审查文件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14.1.4.1投标函（格式见第三章）；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14.1.4.2关于资格文件的声明函；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14.1.4.3投标单位基本情况表；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14.1.4.4投标单位《营业执照》副本扫描件；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14.1.4.5投标单位法定代表人身份证扫描件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14.1.4.6法定代表人授权委托书及投标单位代理人身份证扫描件（如有授权）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14.1.4.7《商务条款偏离表》、《服务要求对照偏离表》、《技术要求偏离表》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14.1.4.8《关于符合本国产品标准的声明函》（注：如供应商提供的货物中涉及本国产品标准，提供声明函）（如有）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14.1.4.9其他有关符合性证明的文件；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14.1.4.10投标（响应）保证承诺书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14.1.5综合评审文件（所需材料详见第六章评分标准）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14.1.5.1其它有关证明文件；</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注：（1）以上14.1.3.1-14.1.3.9为资格审查要求提供的材料，是作为对供应商资格审查、质疑身份认定的依据，投标人必须提供并加盖电子公章。否则，投标文件将被认定为不符合资格审查要求。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（2）以上14.1.4.1-14.1.4.10为符合性审查须提供的资料，投标人必须提供并加盖电子公章。否则，投标文件将被认定为未实质性响应。</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（3）“14.1.5中不得出现投标总报价。</w:t>
      </w:r>
      <w:r>
        <w:rPr>
          <w:rFonts w:ascii="SimSun" w:hAnsi="SimSun" w:eastAsia="SimSun" w:cs="SimSun"/>
          <w:color w:val="000000"/>
          <w:sz w:val="21"/>
        </w:rPr>
        <w:t xml:space="preserve">投标人所提交的资料的完整与否，将直接影响投标人的评分。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（4）制作电子投标文件时必须与投标文件制作软件目录一一对应，将相关资料上传至相应模块。</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15.投标文件编制要求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15.1投标文件按统一格式、顺序编写。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15.2《开标一览表》为在开标仪式上唱标的内容，要求按格式填写，统一规范，不得自行增减内容。</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16.投标报价（编制）要求的说明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除非合同中另有规定，投标人对《开标一览表》中的报价（优惠率）应综合考量提供全部货物和服务所需的各项成本、法定税费和管理企业的利润、保险及合同包含的所有风险、代理服务费、责任等各项应有费用。投标报价（优惠率）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16.2投标人应对招标文件内所要采购的全部内容进行报价，只投其中部分内容者，其标书将被拒绝（如为多标段项目，则上述提到的全部内容是指所投标段对应采购的全部内容）。</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16.3一项投标内容只允许一个报价（优惠率），招标人不接受任何有选择性的投标报价（优惠率）。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16.4投标文件报价采用人民币表示，除非合同的特殊条款另有规定。</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16.5异常低价审查</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16.5.1按照财政部发布的《关于推动解决政府采购异常低价问题的通知》（ 财库〔2026〕2号）文，政府采购评审中出现下列情形之一的，评审委员会应当启动异常低价投标（响应）审查程序：</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16.5.1.1投标（响应）报价低于全部通过符合性审查供应商投标（响应）报价平均值50%的，即投标（响应）报价&lt;全部通过符合性审查供应商投标（响应）报价平均值×50%；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16.5.1.2投标（响应）报价低于通过符合性审查的次低报价供应商投标（响应）报价50%的，即投标（响应）报价&lt;通过符合性审查的次低报价供应商投标（响应）报价×50%；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16.5.1.3投标（响应）报价低于采购项目最高限价45%的，即投标（响应）报价&lt;采购项目最高限价×45%；</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16.5.1.4评审委员会基于专业判断，认为供应商报价过低，有可能影响产品质量或者不能诚信履约的其他情形。</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17.投标保证金：本项目不收取投标保证金。</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18.投标文件的有效期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18.1自提交投标文件截止之日起90天内，投标文件中承诺的投标有效期应当不少于招标文件中载明的投标有效期。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18.2在特殊情况下，采购人、采购代理机构可与投标人协商延长投标书的有效期。这种要求和答复都应以书面形式进行。同意延长有效期的投标人不能修改投标文件。</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19.投标文件的制作、签署、上传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19.1本项目采用电子招投标形式，请供应商按照</w:t>
      </w:r>
      <w:r>
        <w:rPr>
          <w:rFonts w:ascii="SimSun" w:hAnsi="SimSun" w:eastAsia="SimSun" w:cs="SimSun"/>
          <w:b/>
          <w:color w:val="000000"/>
          <w:sz w:val="21"/>
        </w:rPr>
        <w:t xml:space="preserve">《苏采云系统供应商操作手册》</w:t>
      </w:r>
      <w:r>
        <w:rPr>
          <w:rFonts w:ascii="SimSun" w:hAnsi="SimSun" w:eastAsia="SimSun" w:cs="SimSun"/>
          <w:color w:val="000000"/>
          <w:sz w:val="21"/>
        </w:rPr>
        <w:t xml:space="preserve">进行制作、上传电子投标文件。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19.2制作电子投标文件时，应按照招标文件要求加盖投标人电子公章。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w:t>
      </w:r>
      <w:r>
        <w:rPr>
          <w:rFonts w:ascii="SimSun" w:hAnsi="SimSun" w:eastAsia="SimSun" w:cs="SimSun"/>
          <w:b/>
          <w:color w:val="000000"/>
          <w:sz w:val="21"/>
        </w:rPr>
        <w:t xml:space="preserve">电子投标文件制作完成后请于投标文件网上提交截止时间前成功上传至“苏采云”系统，否则视为放弃参加该采购项目。</w:t>
      </w:r>
      <w:r>
        <w:rPr>
          <w:rFonts w:ascii="SimSun" w:hAnsi="SimSun" w:eastAsia="SimSun" w:cs="SimSun"/>
          <w:color w:val="000000"/>
          <w:sz w:val="21"/>
          <w:u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五、投标文件的递交、补充、修改和撤回</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20.投标文件的递交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20.1投标人应当在在投标截止时间前制作并上传电子投标文件。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20.2投标人通过</w:t>
      </w:r>
      <w:r>
        <w:rPr>
          <w:rFonts w:ascii="SimSun" w:hAnsi="SimSun" w:eastAsia="SimSun" w:cs="SimSun"/>
          <w:b/>
          <w:color w:val="000000"/>
          <w:sz w:val="21"/>
        </w:rPr>
        <w:t xml:space="preserve">“苏采云”系统不见面开标大厅在线参与开标活动。（具体操作详见《苏采云系统供应商操作手册》，网址链接https://czju.suzhou.gov.cn/zfcg/html/content/20231220161910031.shtml）</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21.投标截止时间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21.1投标人应当在招标文件要求投标文件网上提交截止时间前，将投标文件完成提交（上传）。逾期提交（上传）的投标文件，采购人和采购代理机构拒绝接收。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21.2采购人和采购代理机构推迟投标截止时间时，将按本须知规定的更正公告的方式对外发布。在这种情况下，采购人、采购代理机构和投标人的权利和义务将受到新的截止期的约束。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21.3在投标截止时间止成功解密的投标文件少于三份，采购代理机构有权宣布本次招标失败。</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22.投标文件的补充、修改和撤回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22.2投标人在投标文件网上提交截止时间前，可以撤回其电子投标文件，具体操作方法见《苏采云系统供应商操作手册》。</w:t>
      </w:r>
      <w:r>
        <w:rPr>
          <w:rFonts w:ascii="SimSun" w:hAnsi="SimSun" w:eastAsia="SimSun" w:cs="SimSun"/>
          <w:color w:val="000000"/>
          <w:sz w:val="21"/>
          <w:u w:val="none"/>
        </w:rPr>
        <w:t xml:space="preserve">投标人撤回电子投标文件，则认为其不再参与本项目投标活动。在投标截止时间至招标文件中规定的投标有效期满之间的这段时间内，投标人不得撤回其投标。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六、开标和评标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23.开标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23.1开标由采购代理机构在线主持，邀请投标人在线参加。投标人应当按照《苏采云系统供应商操作手册》规定，</w:t>
      </w:r>
      <w:r>
        <w:rPr>
          <w:rFonts w:ascii="SimSun" w:hAnsi="SimSun" w:eastAsia="SimSun" w:cs="SimSun"/>
          <w:b/>
          <w:color w:val="000000"/>
          <w:sz w:val="21"/>
        </w:rPr>
        <w:t xml:space="preserve">参加开标活动和在“苏采云”系统规定的时间内对投标文件进行解密</w:t>
      </w:r>
      <w:r>
        <w:rPr>
          <w:rFonts w:ascii="SimSun" w:hAnsi="SimSun" w:eastAsia="SimSun" w:cs="SimSun"/>
          <w:color w:val="000000"/>
          <w:sz w:val="21"/>
        </w:rPr>
        <w:t xml:space="preserve">。评标委员会成员不得参加开标活动。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23.3资格审查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23.3.1公开招标采购项目开标结束后，采购人应当依法对投标人的资格进行审查，未通过资格审查的视为无效投标。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23.3.2.1查询时间：投标文件递交截止时间。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23.3.2.2查询渠道</w:t>
      </w:r>
      <w:r>
        <w:rPr>
          <w:rFonts w:ascii="SimSun" w:hAnsi="SimSun" w:eastAsia="SimSun" w:cs="SimSun"/>
          <w:b/>
          <w:color w:val="000000"/>
          <w:sz w:val="21"/>
        </w:rPr>
        <w:t xml:space="preserve">：</w:t>
      </w:r>
      <w:r>
        <w:rPr>
          <w:rFonts w:ascii="SimSun" w:hAnsi="SimSun" w:eastAsia="SimSun" w:cs="SimSun"/>
          <w:color w:val="000000"/>
          <w:sz w:val="21"/>
        </w:rPr>
        <w:t xml:space="preserve">采购代理机构会在接收投标文件截止时间后，登录信用中国网站（www.creditchina.gov.cn）和中国政府采购网（www.ccgp.gov.cn/）查询供应商的信用记录，并将查询结果递交评标委员会。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24.评标委员会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24.1评标委员会负责具体评标事务，并独立履行下列职责：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24.1.1审查、评价投标文件是否符合招标文件的商务、技术等实质性要求；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24.1.2要求投标人对投标文件有关事项作出澄清或者说明；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24.1.3对投标文件进行比较和评价；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24.1.4确定中标候选人名单，以及根据采购人委托直接确定中标人；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24.1.5向采购人、采购代理机构或者有关部门报告评标中发现的违法行为。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24.2评标委员会成员应当履行下列义务：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24.2.1遵纪守法，客观、公正、廉洁地履行职责；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24.2.2按照招标文件规定的评标办法和评标标准进行评标，对评审意见承担个人责任；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24.2.3对评标过程和结果，以及投标人的商业秘密保密；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24.2.4评标委员会根据全体评标成员签字的原始评标记录和评标结果编写评标报告。评标报告应当包括以下内容：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（一）招标公告刊登的媒体名称、开标日期和地点；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（二）投标人名单和评标委员会成员名单；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（三）评标方法和标准；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（四）开标记录和评标情况及说明，包括无效投标人名单及原因；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（五）评标结果，确定的中标候选人名单或者经采购人委托直接确定的中标人；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（六）其他需要说明的情况，包括评标过程中投标人根据评标委员会要求进行的澄清、说明或者补正，评标委员会成员的更换等。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24.2.5配合相关部门的投诉处理工作；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24.2.6配合采购人和采购代理机构答复投标人提出的质疑。</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25.评标内容的保密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25.1公开开标后，直到宣布授予中标合同为止，凡属于审查、澄清、评价和比较投标的所有资料，有关授予合同的信息都不应向投标人或与评标无关的其他人泄露。</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25.2在投标文件的审查、澄清、评价和比较以及授予合同的过程中，投标人对采购人、采购代理机构和评标委员会成员施加影响的任何行为，都将取消其中标资格。</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26.对投标文件初审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26.1评标委员会应当对符合资格的投标人的投标文件进行符合性审查，以确定其是否满足招标文件的实质性要求。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投标文件有下列情况之一者评标委员会有权将其拒绝：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26.1.1投标人的投标文件未按照本须知规定制作的；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26.1.2未按本须知规定提交资格文件；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26.1.3与招标文件有重大偏离；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26.1.4投标人拒绝修正错误；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26.1.5投标人的报价是选择性的；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26.1.6投标人的报价只投了部分内容；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26.1.7投标人的投标文件出现了评标委员会认为不应当雷同的情况；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26.1.8其他被评委会认定无效的情况。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26.3投标文件报价出现前后不一致的，除招标文件另有规定外，按照下列规定修正：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（一）投标文件中开标一览表（报价表）内容与投标文件中相应内容不一致的，以开标一览表（报价表）为准；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（二）大写金额和小写金额不一致的，以大写金额为准；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（三）单价金额小数点或者百分比有明显错位的，以开标一览表的总价（优惠率）为准，并修改单价；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（四）总价金额与按单价汇总金额不一致的，以单价金额计算结果为准。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27.投标的澄清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27.1对于投标文件中含义不明确、同类问题表述不一致或者有明显文字和计算错误的内容，评标委员会应当以书面形式要求投标人作出必要的澄清、说明或者补正。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27.2投标人的澄清、说明或者补正应当采用书面形式，并加盖其单位电子公章。投标人的澄清、说明或者补正不得超出投标文件的范围或者改变投标文件的实质性内容。</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1"/>
        </w:rPr>
        <w:t xml:space="preserve">(</w:t>
      </w:r>
      <w:r>
        <w:rPr>
          <w:rFonts w:ascii="SimSun" w:hAnsi="SimSun" w:eastAsia="SimSun" w:cs="SimSun"/>
          <w:b/>
          <w:color w:val="000000"/>
          <w:sz w:val="21"/>
        </w:rPr>
        <w:t xml:space="preserve">此处规定时间的计算以系统中的倒计时间为准，</w:t>
      </w:r>
      <w:r>
        <w:rPr>
          <w:rFonts w:ascii="SimSun" w:hAnsi="SimSun" w:eastAsia="SimSun" w:cs="SimSun"/>
          <w:color w:val="000000"/>
          <w:sz w:val="21"/>
        </w:rPr>
        <w:t xml:space="preserve">供应商应随时保持系统在线，如因供应商自身原因未在规定时间内提交澄清确认资料的，导致的不利后果由供应商自行承担。</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28.投标无效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28.1投标人存在下列情况之一的，投标无效: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（一）投标文件未按招标文件要求签署、盖章的；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（二）不具备招标文件中规定的资格要求的；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（三）报价超过招标文件中规定的预算金额或者最高限价的；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（四）投标文件含有采购人不能接受的附加条件的；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（五）法律、法规和招标文件规定的其他无效情形。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28.2投标人应当遵循公平竞争的原则，不得恶意串通，不得妨碍其他投标人的竞争行为，不得损害采购人或者其他投标人的合法权益。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28.3有下列情形之一的，视为投标人串通投标，其投标无效：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（一）不同投标人的投标文件由同一单位或者个人编制；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（二）不同投标人委托同一单位或者个人办理投标事宜；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（三）不同投标人的投标文件载明的项目管理成员或者联系人员为同一人；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（四）不同投标人的投标文件异常一致或者投标报价呈规律性差异；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（五）不同投标人的投标文件相互混装。</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29.废标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29.1在招标过程中，出现下列情况之一的，应予废标：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29.1.1符合专业条件的供应商或者对招标文件作实质投标的供应商不足三家的；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29.1.2出现影响采购公正的违法、违规行为的；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29.1.3投标人的报价均超过了采购预算，采购人不能支付的；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29.1.4因重大变故，采购任务取消的；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29.2废标后，采购人和采购代理机构将把废标的理由通知所有投标人。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30.投标文件的评价和比较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采用综合评分法的，评标结果按评审后得分由高到低顺序排列。得分相同的，按投标优惠率由高到低顺序排列。得分且投标报价相同的并列，则由评标委员会组织抽签确定中标人。投标文件满足招标文件全部实质性要求，且按照评审因素的量化指标评审得分最高的投标人为排名第一的中标候选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七、授予合同</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31.中标单位的确认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31.1评标委员会根据投标人资格审查情况，对投标文件进行评价和比较，按照评标办法和标准进行评标，并按采购人的委托向采购人推荐中标人。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32.合同授予标准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采购人将把合同授予其投标文件在实质上响应投标招标文件要求且按本须知规定评选出的投标人。确定为中标的投标人必须具有实施本合同的能力和资源。</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33.中标通知书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33.1确定出中标人后，采购代理机构在法定时间内向中标人发出中标通知书。</w:t>
      </w:r>
      <w:r>
        <w:rPr>
          <w:rFonts w:ascii="SimSun" w:hAnsi="SimSun" w:eastAsia="SimSun" w:cs="SimSun"/>
          <w:b/>
          <w:color w:val="000000"/>
          <w:sz w:val="21"/>
        </w:rPr>
        <w:t xml:space="preserve">请中标人在中标结果公告届满之日起30日内,使用CA证书登录“苏采云”系统及时下载中标通知书。</w:t>
      </w:r>
      <w:r>
        <w:rPr>
          <w:rFonts w:ascii="SimSun" w:hAnsi="SimSun" w:eastAsia="SimSun" w:cs="SimSun"/>
          <w:color w:val="000000"/>
          <w:sz w:val="21"/>
        </w:rPr>
        <w:t xml:space="preserve">因系统存储空间有限，自中标结果公告届满之日起30日后，“苏采云”系统不再保证提供下载中标通知书服务,因未及时下载而造成的不利后果由中标人自行承担。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33.2中标通知书将成为合同的组成部分，对采购人和中标人具有同等法律效力。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34.3中标通知书发出后，采购人不得违法改变中标结果，中标人无正当理由不得放弃中标。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34.合同的签订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 采购人与中标人所签订的合同不得对招标文件确定的事项和中标人投标文件作实质性修改，采购人不得向中标人提出任何不合理的要求作为签订合同的条件。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34.3招标文件、中标人的投标文件及招标过程中有关澄清、承诺文件均应作为合同附件。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八、其他事项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35.代理服务费：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35.1收费标准：按苏州市吴江区中介超市规定收取，中标单位在领取中标通知书时向采购代理机构一次性付清，本项目代理服务费为人民币肆万肆仟壹佰元整（￥44100.00）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35.2缴纳账户：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账户名：苏州爱达招投标有限公司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开户行：宁波银行股份有限公司吴江支行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账号：75070122000335450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36.有关监督部门将对招投标全过程进行监督。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37.未尽事宜：</w:t>
      </w:r>
      <w:r>
        <w:rPr>
          <w:rFonts w:ascii="SimSun" w:hAnsi="SimSun" w:eastAsia="SimSun" w:cs="SimSun"/>
          <w:color w:val="000000"/>
          <w:sz w:val="21"/>
        </w:rPr>
        <w:t xml:space="preserve">按《中华人民共和国政府采购法》及其他有关的法律法规的规定执行。</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943"/>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投标文件格式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对本章所有的投标书格式 ，投标人可根据自身情况进行补充和修改，但补充和修改不得造成与本格式内容有实质性的违背。</w:t>
      </w:r>
      <w:r/>
    </w:p>
    <w:p>
      <w:pPr>
        <w:ind w:left="0" w:right="0" w:firstLine="481"/>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color="auto"/>
        <w:rPr>
          <w:sz w:val="24"/>
          <w:szCs w:val="24"/>
        </w:rPr>
      </w:pPr>
      <w:r>
        <w:rPr>
          <w:sz w:val="24"/>
        </w:rPr>
        <w:br w:type="page" w:clear="all"/>
      </w:r>
      <w:r>
        <w:rPr>
          <w:sz w:val="24"/>
        </w:rPr>
      </w:r>
      <w:r/>
    </w:p>
    <w:p>
      <w:pPr>
        <w:ind w:left="0" w:right="0" w:firstLine="0"/>
        <w:spacing w:before="240" w:after="240" w:line="400" w:lineRule="atLeast"/>
        <w:rPr>
          <w:sz w:val="24"/>
          <w:szCs w:val="24"/>
        </w:rPr>
        <w:pBdr>
          <w:top w:val="none" w:color="000000" w:sz="4" w:space="0"/>
          <w:left w:val="none" w:color="000000" w:sz="4" w:space="0"/>
          <w:bottom w:val="none" w:color="000000" w:sz="4" w:space="0"/>
          <w:right w:val="none" w:color="000000" w:sz="4" w:space="0"/>
        </w:pBdr>
      </w:pPr>
      <w:r>
        <w:rPr>
          <w:sz w:val="24"/>
        </w:rPr>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格式1：投标函</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苏州爱达招投标有限公司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我们收到贵方 </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号招标文件，经仔细阅读和研究，我们决定参加投标，并做出如下承诺：</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1、我们已详细审查并确认全部招标文件（包括补充文件）以及全部参考资料和有关附件。</w:t>
      </w:r>
      <w:r/>
    </w:p>
    <w:p>
      <w:pPr>
        <w:ind w:left="0" w:right="0" w:firstLine="420"/>
        <w:jc w:val="both"/>
        <w:spacing w:before="0" w:after="0" w:line="4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愿意按照招标文件的一切要求，包括完成该项目全部内容所需的软硬件设备费、光纤、材料费、安装施工费、管理、运行服务费、售后、人工费、保险、税金、政策性文件规定及合同包含的所有风险、代理服务费、责任等各项一切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3、如果我们的投标书被接受，我们将严格履行招标文件中规定的每一项要求，按期、按质、按量履行合同的义务。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4、我们同意按招标文件中的规定，本投标书的有效期限为开标后</w:t>
      </w:r>
      <w:r>
        <w:rPr>
          <w:rFonts w:ascii="SimSun" w:hAnsi="SimSun" w:eastAsia="SimSun" w:cs="SimSun"/>
          <w:color w:val="000000"/>
          <w:sz w:val="21"/>
          <w:u w:val="single"/>
        </w:rPr>
        <w:t xml:space="preserve"> 90</w:t>
      </w:r>
      <w:r>
        <w:rPr>
          <w:rFonts w:ascii="SimSun" w:hAnsi="SimSun" w:eastAsia="SimSun" w:cs="SimSun"/>
          <w:color w:val="000000"/>
          <w:sz w:val="21"/>
        </w:rPr>
        <w:t xml:space="preserve">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5、我们愿意提供招标方在招标文件中要求的相关资料。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6、我们承诺该项投标在开标后的全过程中保持有效，不作任何更改和变动。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我们愿意按照贵方招标文件的要求提供网上投标文件一份，并保证全部投标文件内容真实有效，若有虚假，我公司愿意承担与此相关的一切责任；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8、我们愿意按照《民法典》履行自己应该承担的全部责任；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9、我们同意采购人关于违约责任的认定方式和对违约责任的处罚；在服务过程中，如我单位违约，我单位愿意承担相应违约责任。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所有有关标书的函电，请按下列地址联系：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邮政编码：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联系电话/传真：</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法定代表人或被授权人：（签字或签章）</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br w:type="page" w:clear="all"/>
      </w:r>
      <w:r>
        <w:rPr>
          <w:sz w:val="24"/>
        </w:rPr>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格式2：法定代表人授权委托书</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授权委托书</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1"/>
        </w:rPr>
        <w:t xml:space="preserve">（姓名）系</w:t>
      </w:r>
      <w:r>
        <w:rPr>
          <w:rFonts w:ascii="SimSun" w:hAnsi="SimSun" w:eastAsia="SimSun" w:cs="SimSun"/>
          <w:color w:val="000000"/>
          <w:sz w:val="21"/>
          <w:u w:val="single"/>
        </w:rPr>
        <w:t xml:space="preserve">     （投标单位名称）</w:t>
      </w:r>
      <w:r>
        <w:rPr>
          <w:rFonts w:ascii="SimSun" w:hAnsi="SimSun" w:eastAsia="SimSun" w:cs="SimSun"/>
          <w:b/>
          <w:i/>
          <w:color w:val="000000"/>
          <w:sz w:val="21"/>
          <w:u w:val="single"/>
        </w:rPr>
        <w:t xml:space="preserve">  </w:t>
      </w:r>
      <w:r>
        <w:rPr>
          <w:rFonts w:ascii="SimSun" w:hAnsi="SimSun" w:eastAsia="SimSun" w:cs="SimSun"/>
          <w:color w:val="000000"/>
          <w:sz w:val="21"/>
        </w:rPr>
        <w:t xml:space="preserve">的法定代表人（负责人），现授权委托</w:t>
      </w:r>
      <w:r>
        <w:rPr>
          <w:rFonts w:ascii="SimSun" w:hAnsi="SimSun" w:eastAsia="SimSun" w:cs="SimSun"/>
          <w:color w:val="000000"/>
          <w:sz w:val="21"/>
          <w:u w:val="single"/>
        </w:rPr>
        <w:t xml:space="preserve">        </w:t>
      </w:r>
      <w:r>
        <w:rPr>
          <w:rFonts w:ascii="SimSun" w:hAnsi="SimSun" w:eastAsia="SimSun" w:cs="SimSun"/>
          <w:color w:val="000000"/>
          <w:sz w:val="21"/>
        </w:rPr>
        <w:t xml:space="preserve">（姓名）为我公司授权代表（即代理人），以本公司的名义参加</w:t>
      </w:r>
      <w:r>
        <w:rPr>
          <w:rFonts w:ascii="SimSun" w:hAnsi="SimSun" w:eastAsia="SimSun" w:cs="SimSun"/>
          <w:color w:val="000000"/>
          <w:sz w:val="21"/>
          <w:u w:val="single"/>
        </w:rPr>
        <w:t xml:space="preserve">苏州爱达招投标有限公司 </w:t>
      </w:r>
      <w:r>
        <w:rPr>
          <w:rFonts w:ascii="SimSun" w:hAnsi="SimSun" w:eastAsia="SimSun" w:cs="SimSun"/>
          <w:color w:val="000000"/>
          <w:sz w:val="21"/>
        </w:rPr>
        <w:t xml:space="preserve">组织实施的编号为</w:t>
      </w:r>
      <w:r>
        <w:rPr>
          <w:rFonts w:ascii="SimSun" w:hAnsi="SimSun" w:eastAsia="SimSun" w:cs="SimSun"/>
          <w:color w:val="000000"/>
          <w:sz w:val="21"/>
          <w:u w:val="single"/>
        </w:rPr>
        <w:t xml:space="preserve">  JSZC-320509-SZAD-G2026-0002 </w:t>
      </w:r>
      <w:r>
        <w:rPr>
          <w:rFonts w:ascii="SimSun" w:hAnsi="SimSun" w:eastAsia="SimSun" w:cs="SimSun"/>
          <w:color w:val="000000"/>
          <w:sz w:val="21"/>
        </w:rPr>
        <w:t xml:space="preserve">号的招标活动。授权代表在采购活动过程中所签署的一切文件和处理与这有关的一切事务，我均予以承认。</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授权代表在授权委托书有效期内签署的所有文件不因授权委托的撤销而失效，除非有撤销授权委托的书面通知，本授权委托书自采购活动开始至合同履行完毕止。</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授权代表无转委托权。特此委托。</w:t>
      </w:r>
      <w:r/>
    </w:p>
    <w:p>
      <w:pPr>
        <w:ind w:left="0" w:right="0" w:firstLine="84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10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10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注：须单位签章、法定代表人签字或盖章、代理人签字或盖章三者齐全，否则该授权委托书无效。</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格式3：开标一览表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开标一览表（分包</w:t>
      </w:r>
      <w:r>
        <w:rPr>
          <w:rFonts w:ascii="SimSun" w:hAnsi="SimSun" w:eastAsia="SimSun" w:cs="SimSun"/>
          <w:b/>
          <w:color w:val="000000"/>
          <w:sz w:val="26"/>
          <w:u w:val="single"/>
        </w:rPr>
        <w:t xml:space="preserve">   </w:t>
      </w:r>
      <w:r>
        <w:rPr>
          <w:rFonts w:ascii="SimSun" w:hAnsi="SimSun" w:eastAsia="SimSun" w:cs="SimSun"/>
          <w:b/>
          <w:color w:val="000000"/>
          <w:sz w:val="26"/>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招标编号：项目名称：</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1"/>
        <w:gridCol w:w="1813"/>
        <w:gridCol w:w="3362"/>
        <w:gridCol w:w="2466"/>
      </w:tblGrid>
      <w:tr>
        <w:trPr>
          <w:trHeight w:val="5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累计结算金额不可超过采购预算。本项目为综合报价，应包括但不限于所有软硬件设备费、光纤、材料费、安装施工费、管理、运行服务费、售后、人工费、保险、税金、政策性文件规定及合同包含的所有风险、代理服务费、责任等各项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2、各投标单位按照限价100%投报优惠率，如：下降2%，则表中填写优惠率2%；下降8%，则表中填写优惠率8%；下降12%，则表中填写优惠率12%。以此为例。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法定代表人或被授权人：（签字或盖章）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格式4：关于投标报价合理性的澄清说明</w:t>
      </w:r>
      <w:r/>
    </w:p>
    <w:p>
      <w:pPr>
        <w:pStyle w:val="944"/>
        <w:ind w:left="0" w:right="0" w:firstLine="420"/>
        <w:jc w:val="center"/>
        <w:keepLines/>
        <w:spacing w:before="0"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关于投标报价合理性的澄清说明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苏州爱达招投标有限公司：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号（项目编号）的招标活动进行响应，对于本公司的投标报价合理性作出说明如下：</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85"/>
      </w:tblGrid>
      <w:tr>
        <w:trPr>
          <w:trHeight w:val="39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5" w:type="dxa"/>
            <w:vAlign w:val="center"/>
            <w:textDirection w:val="lrTb"/>
            <w:noWrap w:val="false"/>
          </w:tcPr>
          <w:p>
            <w:pPr>
              <w:ind w:left="0" w:right="0" w:firstLine="0"/>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投标单位应当根据实际情况自拟答复并根据评标小组关于澄清的要求提供相关证明材料作为附件。</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根据招标文件第二章“投标人须知”要求，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57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30" w:right="0" w:firstLine="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格式5：质量承诺及售后服务承诺</w:t>
      </w:r>
      <w:r/>
    </w:p>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质量承诺及服务承诺</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3"/>
      </w:tblGrid>
      <w:tr>
        <w:trPr>
          <w:trHeight w:val="10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1、投标供应商应根据本次采购项目要求，对所投货物和服务的服务期内质量及服务进行详细的说明与描述。</w:t>
            </w:r>
            <w:r/>
          </w:p>
        </w:tc>
      </w:tr>
      <w:tr>
        <w:trPr>
          <w:trHeight w:val="9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43" w:type="dxa"/>
            <w:vAlign w:val="bottom"/>
            <w:textDirection w:val="lrTb"/>
            <w:noWrap w:val="false"/>
          </w:tcPr>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bl>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br w:type="page" w:clear="all"/>
      </w:r>
      <w:r>
        <w:rPr>
          <w:rFonts w:ascii="Times New Roman" w:hAnsi="Times New Roman" w:eastAsia="Times New Roman" w:cs="Times New Roman"/>
          <w:sz w:val="26"/>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格式6：安装、验收方案及措施</w:t>
      </w:r>
      <w:r/>
    </w:p>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安装、验收方案及措施</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3"/>
      </w:tblGrid>
      <w:tr>
        <w:trPr>
          <w:trHeight w:val="10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94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1、投标供应商应根据本次采购项目要求，对所投货物的安装和验收方案及措施进行详细的说明与描述。</w:t>
            </w:r>
            <w:r/>
          </w:p>
        </w:tc>
      </w:tr>
      <w:tr>
        <w:trPr>
          <w:trHeight w:val="9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43" w:type="dxa"/>
            <w:vAlign w:val="bottom"/>
            <w:textDirection w:val="lrTb"/>
            <w:noWrap w:val="false"/>
          </w:tcPr>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bl>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格式7：服务偏离表、商务偏离表、技术偏离表</w:t>
      </w:r>
      <w:r/>
    </w:p>
    <w:p>
      <w:pPr>
        <w:ind w:left="0" w:right="0" w:firstLine="0"/>
        <w:jc w:val="center"/>
        <w:spacing w:before="156" w:after="46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（一）服务条款偏离表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
        <w:gridCol w:w="1890"/>
        <w:gridCol w:w="3060"/>
        <w:gridCol w:w="1583"/>
        <w:gridCol w:w="1904"/>
      </w:tblGrid>
      <w:tr>
        <w:trPr>
          <w:trHeight w:val="9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1、服务条款内容主要是针对招标文件有关的服务要求等内容。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2、无偏离应在本表“响应文件响应情况”栏注明“无服务条款偏离”的字样。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46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（二）商务条款偏离表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
        <w:gridCol w:w="1890"/>
        <w:gridCol w:w="2417"/>
        <w:gridCol w:w="1743"/>
        <w:gridCol w:w="2385"/>
      </w:tblGrid>
      <w:tr>
        <w:trPr>
          <w:trHeight w:val="9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合同主要条款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1、商务条款内容主要是针对招标文件有关的付款条件、服务期、合同主要条款等内容。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2、无偏离应在本表“投标文件响应情况”栏注明“无商务条款偏离”的字样。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3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采购编号∶</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1731"/>
        <w:gridCol w:w="856"/>
        <w:gridCol w:w="1340"/>
        <w:gridCol w:w="777"/>
        <w:gridCol w:w="2323"/>
        <w:gridCol w:w="10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主设备参数或功能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交的投标文件中与招标文件的技术部分的要求有不同时，应在本表中把招标文件要求与实际响应内容逐项对应列出，并在“偏离说明”项下填写以下内容：优于的，填写“正偏离”；符合的，填写“无偏离”；低于的，填写“负偏离”。不允许负偏离，否则为无效响应。</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2.若事项较多，投标单位可根据响应内容的实际情况另纸说明。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格式8：人员配置表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（一）项目组人员配置表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5"/>
        <w:gridCol w:w="1608"/>
        <w:gridCol w:w="1377"/>
        <w:gridCol w:w="842"/>
        <w:gridCol w:w="787"/>
        <w:gridCol w:w="949"/>
        <w:gridCol w:w="1914"/>
        <w:gridCol w:w="1112"/>
      </w:tblGrid>
      <w:tr>
        <w:trPr>
          <w:trHeight w:val="13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在本项目中负责的岗位（按照采购要求填写）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2、附各专业人员简历及相关证明材料扫描件，如主要人员姓名及履历简介（包括学历﹑职称﹑曾担任职务﹑现任职务、专业、从业年限、完成类似项目实例、人员资质证书等。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3、响应人可参照上述格式自行设计表格。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（二）项目负责人情况表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1372"/>
        <w:gridCol w:w="2544"/>
        <w:gridCol w:w="1241"/>
        <w:gridCol w:w="2921"/>
      </w:tblGrid>
      <w:tr>
        <w:trPr>
          <w:trHeight w:val="59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1</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性   别</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身份证号码</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出生年月</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921" w:type="dxa"/>
            <w:vAlign w:val="center"/>
            <w:textDirection w:val="lrTb"/>
            <w:noWrap w:val="false"/>
          </w:tcPr>
          <w:p>
            <w:pPr>
              <w:ind w:left="0" w:right="0" w:firstLine="75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年   月</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3</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联系电话：</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4</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从事工作时间：</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5</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有何特长：</w:t>
            </w:r>
            <w:r/>
          </w:p>
        </w:tc>
      </w:tr>
      <w:tr>
        <w:trPr>
          <w:trHeight w:val="185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6</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拥有的相关证书：</w:t>
            </w:r>
            <w:r/>
          </w:p>
        </w:tc>
      </w:tr>
      <w:tr>
        <w:trPr>
          <w:trHeight w:val="253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7</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工作简历：</w:t>
            </w:r>
            <w:r/>
          </w:p>
        </w:tc>
      </w:tr>
      <w:tr>
        <w:trPr>
          <w:trHeight w:val="184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8</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其他需要说明的情况</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color w:val="000000"/>
          <w:spacing w:val="4"/>
          <w:sz w:val="21"/>
        </w:rPr>
        <w:t xml:space="preserve">项目负责人应填报此表。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（三）技术负责人情况表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1372"/>
        <w:gridCol w:w="2544"/>
        <w:gridCol w:w="1241"/>
        <w:gridCol w:w="2921"/>
      </w:tblGrid>
      <w:tr>
        <w:trPr>
          <w:trHeight w:val="59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1</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性   别</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9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身份证号码</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出生年月</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921" w:type="dxa"/>
            <w:vAlign w:val="center"/>
            <w:textDirection w:val="lrTb"/>
            <w:noWrap w:val="false"/>
          </w:tcPr>
          <w:p>
            <w:pPr>
              <w:ind w:left="0" w:right="0" w:firstLine="75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年   月</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3</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联系电话：</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4</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从事工作时间：</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5</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有何特长：</w:t>
            </w:r>
            <w:r/>
          </w:p>
        </w:tc>
      </w:tr>
      <w:tr>
        <w:trPr>
          <w:trHeight w:val="185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6</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拥有的相关证书：</w:t>
            </w:r>
            <w:r/>
          </w:p>
        </w:tc>
      </w:tr>
      <w:tr>
        <w:trPr>
          <w:trHeight w:val="253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7</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工作简历：</w:t>
            </w:r>
            <w:r/>
          </w:p>
        </w:tc>
      </w:tr>
      <w:tr>
        <w:trPr>
          <w:trHeight w:val="184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9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8</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0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其他需要说明的情况</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color w:val="000000"/>
          <w:spacing w:val="4"/>
          <w:sz w:val="21"/>
        </w:rPr>
        <w:t xml:space="preserve">项目负责人应填报此表。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格式9：投标单位情况表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u w:val="none"/>
        </w:rPr>
        <w:t xml:space="preserve">投标单位情况表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2"/>
        <w:gridCol w:w="1240"/>
        <w:gridCol w:w="2058"/>
        <w:gridCol w:w="15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     平方米</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近两年来完成或正在履行的重大合同情况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rHeight w:val="11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最近3年内主要负责人有无因经济犯罪被司法机关追究的情况及说明</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获得技术认证的工程师及简介</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格式10：关于资格文件的声明函</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关于资格文件的声明函</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本公司愿就由贵单位组织实施的编号为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u w:val="none"/>
        </w:rPr>
        <w:t xml:space="preserve">投标</w:t>
      </w:r>
      <w:r>
        <w:rPr>
          <w:rFonts w:ascii="SimSun" w:hAnsi="SimSun" w:eastAsia="SimSun" w:cs="SimSun"/>
          <w:color w:val="000000"/>
          <w:spacing w:val="20"/>
          <w:sz w:val="21"/>
        </w:rPr>
        <w:t xml:space="preserve">人（公章）：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364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格式11：中小企业声明函</w:t>
      </w:r>
      <w:r/>
    </w:p>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 郑重声明， 根据《政府采购促进中小企业发展管理办法》（财库﹝ 2020﹞ 46 号） 的规定， 本公司（联合体） 参加（单位名称） 的（项目名称） 采购活动， 提供的货物全部由符合政策要求的中小企业制造。 相关企业（含联合体中的中小企业、 签订分包意向协议的中小企业）的具体情况如下：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 ， 属于</w:t>
      </w:r>
      <w:r>
        <w:rPr>
          <w:rFonts w:ascii="SimSun" w:hAnsi="SimSun" w:eastAsia="SimSun" w:cs="SimSun"/>
          <w:color w:val="000000"/>
          <w:sz w:val="21"/>
          <w:u w:val="single"/>
        </w:rPr>
        <w:t xml:space="preserve">（租赁和商务服务业）</w:t>
      </w:r>
      <w:r>
        <w:rPr>
          <w:rFonts w:ascii="SimSun" w:hAnsi="SimSun" w:eastAsia="SimSun" w:cs="SimSun"/>
          <w:color w:val="000000"/>
          <w:sz w:val="21"/>
        </w:rPr>
        <w:t xml:space="preserve">行业； 制造商为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 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 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 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 属于</w:t>
      </w:r>
      <w:r>
        <w:rPr>
          <w:rFonts w:ascii="SimSun" w:hAnsi="SimSun" w:eastAsia="SimSun" w:cs="SimSun"/>
          <w:color w:val="000000"/>
          <w:sz w:val="21"/>
          <w:u w:val="single"/>
        </w:rPr>
        <w:t xml:space="preserve">（中型企业、 小型企业、 微型企业）</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 属于</w:t>
      </w:r>
      <w:r>
        <w:rPr>
          <w:rFonts w:ascii="SimSun" w:hAnsi="SimSun" w:eastAsia="SimSun" w:cs="SimSun"/>
          <w:color w:val="000000"/>
          <w:sz w:val="21"/>
          <w:u w:val="single"/>
        </w:rPr>
        <w:t xml:space="preserve">（租赁和商务服务业）</w:t>
      </w:r>
      <w:r>
        <w:rPr>
          <w:rFonts w:ascii="SimSun" w:hAnsi="SimSun" w:eastAsia="SimSun" w:cs="SimSun"/>
          <w:color w:val="000000"/>
          <w:sz w:val="21"/>
        </w:rPr>
        <w:t xml:space="preserve">行业； 制造商为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 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 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 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 属于</w:t>
      </w:r>
      <w:r>
        <w:rPr>
          <w:rFonts w:ascii="SimSun" w:hAnsi="SimSun" w:eastAsia="SimSun" w:cs="SimSun"/>
          <w:color w:val="000000"/>
          <w:sz w:val="21"/>
          <w:u w:val="single"/>
        </w:rPr>
        <w:t xml:space="preserve">（中型企业、 小型企业、 微型企业）</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 不属于大企业的分支机构， 不存在控股股东为大企业的情形， 也不存在与大企业的负责人为同一人的情形。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 如有虚假， 将依法承担相应责任。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tab/>
        <w:t xml:space="preserve">从业人员、营业收入、资产总额填报上一年度数据，无上一年度数据的新成立企业可不填报。</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tab/>
        <w:t xml:space="preserve">如未对（中型企业、小型企业、微型企业）进行勾选，视同非小微企业，不可享受相应优惠。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tab/>
        <w:t xml:space="preserve">一个项目中包含多项货物采购的，须所有标的均为小微企业生产产品才可给予价格折扣。</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中小企业声明函（工程、服务）</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36"/>
        </w:numP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（采购文件中明确的所属行业）；承建（承接）企业为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 </w:t>
      </w:r>
      <w:r/>
    </w:p>
    <w:p>
      <w:pPr>
        <w:numPr>
          <w:ilvl w:val="0"/>
          <w:numId w:val="36"/>
        </w:numP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 （标的名称），属于</w:t>
      </w:r>
      <w:r>
        <w:rPr>
          <w:rFonts w:ascii="SimSun" w:hAnsi="SimSun" w:eastAsia="SimSun" w:cs="SimSun"/>
          <w:color w:val="000000"/>
          <w:sz w:val="21"/>
          <w:u w:val="single"/>
        </w:rPr>
        <w:t xml:space="preserve">        </w:t>
      </w:r>
      <w:r>
        <w:rPr>
          <w:rFonts w:ascii="SimSun" w:hAnsi="SimSun" w:eastAsia="SimSun" w:cs="SimSun"/>
          <w:color w:val="000000"/>
          <w:sz w:val="21"/>
        </w:rPr>
        <w:t xml:space="preserve">（采购文件中明确的所属行业）；承建（承接）企业为</w:t>
      </w:r>
      <w:r>
        <w:rPr>
          <w:rFonts w:ascii="SimSun" w:hAnsi="SimSun" w:eastAsia="SimSun" w:cs="SimSun"/>
          <w:color w:val="000000"/>
          <w:sz w:val="21"/>
          <w:u w:val="single"/>
        </w:rPr>
        <w:t xml:space="preserve">        </w:t>
      </w:r>
      <w:r>
        <w:rPr>
          <w:rFonts w:ascii="SimSun" w:hAnsi="SimSun" w:eastAsia="SimSun" w:cs="SimSun"/>
          <w:color w:val="000000"/>
          <w:sz w:val="21"/>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 小型企业、微型企业）；</w:t>
      </w:r>
      <w:r/>
    </w:p>
    <w:p>
      <w:pPr>
        <w:ind w:left="42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648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注：从业人员、营业收入、资产总额填报上一年度数据，无上一年度数据的新成立企业可不填报。</w:t>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附：中小企业划型标准规定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格式12：残疾人福利性单位声明函（如有）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〔2017〕141</w:t>
      </w:r>
      <w:r>
        <w:rPr>
          <w:rFonts w:ascii="SimSun" w:hAnsi="SimSun" w:eastAsia="SimSun" w:cs="SimSun"/>
          <w:color w:val="000000"/>
          <w:spacing w:val="6"/>
          <w:sz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1560" w:firstLine="444"/>
        <w:jc w:val="center"/>
        <w:spacing w:before="0" w:after="0" w:line="43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单位名称（盖章）：</w:t>
      </w:r>
      <w:r/>
    </w:p>
    <w:p>
      <w:pPr>
        <w:ind w:left="0" w:right="1560" w:firstLine="444"/>
        <w:jc w:val="center"/>
        <w:spacing w:before="0" w:after="0" w:line="43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日期：</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格式13：监狱企业证明文件（如有）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监狱企业的证明文件</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格式14、关于符合本国产品标准的声明函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jc w:val="right"/>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0"/>
        <w:jc w:val="center"/>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6.《声明函》中标注“</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”的地方无需填写。</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格式15：具备履行合同所必需的设备和专业技术能力的书面声明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我单位具备履行本项采购合同所必需的设备和专业技术能力。</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投标单位（加盖公章）：</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格式16：参加政府采购活动前3年内在经营活动中没有重大违法记录的书面声明</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投标单位（加盖公章）：</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格式17：投标（响应）保证承诺书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投标（响应）保证承诺书（参考格式）</w:t>
      </w:r>
      <w:r/>
    </w:p>
    <w:p>
      <w:pPr>
        <w:ind w:left="0" w:right="0" w:firstLine="0"/>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           </w:t>
      </w:r>
      <w:r/>
    </w:p>
    <w:p>
      <w:pPr>
        <w:ind w:left="0" w:right="0" w:firstLine="600"/>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的投标（响应）,并做出如下承诺：</w:t>
      </w:r>
      <w:r/>
    </w:p>
    <w:p>
      <w:pPr>
        <w:ind w:left="0" w:right="0" w:firstLine="600"/>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w:t>
      </w:r>
      <w:r>
        <w:rPr>
          <w:rFonts w:ascii="SimSun" w:hAnsi="SimSun" w:eastAsia="SimSun" w:cs="SimSun"/>
          <w:color w:val="000000"/>
          <w:sz w:val="21"/>
          <w:u w:val="single"/>
        </w:rPr>
        <w:t xml:space="preserve">（或采购单位）</w:t>
      </w:r>
      <w:r>
        <w:rPr>
          <w:rFonts w:ascii="SimSun" w:hAnsi="SimSun" w:eastAsia="SimSun" w:cs="SimSun"/>
          <w:color w:val="000000"/>
          <w:sz w:val="21"/>
        </w:rPr>
        <w:t xml:space="preserve">支付本采购文件公布的预算金额（或最高限价）的2%作为违约赔偿金（数量不确定的单价采购须约定具体金额）。</w:t>
      </w:r>
      <w:r/>
    </w:p>
    <w:p>
      <w:pPr>
        <w:numPr>
          <w:ilvl w:val="0"/>
          <w:numId w:val="37"/>
        </w:numPr>
        <w:spacing w:before="100" w:after="10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自投标（响应）截止时间至本项目发布中标（成交）公告为止，撤销投标（响应）；</w:t>
      </w:r>
      <w:r/>
    </w:p>
    <w:p>
      <w:pPr>
        <w:numPr>
          <w:ilvl w:val="0"/>
          <w:numId w:val="37"/>
        </w:numPr>
        <w:spacing w:before="100" w:after="10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中标（成交）后不依法与采购单位签订合同；</w:t>
      </w:r>
      <w:r/>
    </w:p>
    <w:p>
      <w:pPr>
        <w:numPr>
          <w:ilvl w:val="0"/>
          <w:numId w:val="37"/>
        </w:numPr>
        <w:spacing w:before="100" w:after="10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中标（成交）后不按本采购文件规定向采购单位提交履约保函；</w:t>
      </w:r>
      <w:r/>
    </w:p>
    <w:p>
      <w:pPr>
        <w:numPr>
          <w:ilvl w:val="0"/>
          <w:numId w:val="37"/>
        </w:numPr>
        <w:spacing w:before="100" w:after="100" w:line="4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中标（成交）后不按本采购文件规定向贵方缴纳采购代理费。</w:t>
      </w:r>
      <w:r/>
    </w:p>
    <w:p>
      <w:pPr>
        <w:ind w:left="0" w:right="0" w:firstLine="600"/>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w:t>
      </w:r>
      <w:r>
        <w:rPr>
          <w:rFonts w:ascii="SimSun" w:hAnsi="SimSun" w:eastAsia="SimSun" w:cs="SimSun"/>
          <w:color w:val="000000"/>
          <w:sz w:val="21"/>
          <w:u w:val="single"/>
        </w:rPr>
        <w:t xml:space="preserve">（或采购单位）</w:t>
      </w:r>
      <w:r>
        <w:rPr>
          <w:rFonts w:ascii="SimSun" w:hAnsi="SimSun" w:eastAsia="SimSun" w:cs="SimSun"/>
          <w:color w:val="000000"/>
          <w:sz w:val="21"/>
        </w:rPr>
        <w:t xml:space="preserve">要求我单位履行违约赔偿义务的依据作用。</w:t>
      </w:r>
      <w:r/>
    </w:p>
    <w:p>
      <w:pPr>
        <w:ind w:left="1560" w:right="0" w:firstLine="0"/>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投标（响应）人：</w:t>
      </w:r>
      <w:r>
        <w:rPr>
          <w:rFonts w:ascii="SimSun" w:hAnsi="SimSun" w:eastAsia="SimSun" w:cs="SimSun"/>
          <w:color w:val="000000"/>
          <w:sz w:val="21"/>
          <w:u w:val="single"/>
        </w:rPr>
        <w:t xml:space="preserve">                               </w:t>
      </w:r>
      <w:r>
        <w:rPr>
          <w:rFonts w:ascii="SimSun" w:hAnsi="SimSun" w:eastAsia="SimSun" w:cs="SimSun"/>
          <w:color w:val="000000"/>
          <w:sz w:val="21"/>
        </w:rPr>
        <w:t xml:space="preserve">（盖公章）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w:t>
      </w:r>
      <w:r>
        <w:rPr>
          <w:rFonts w:ascii="SimSun" w:hAnsi="SimSun" w:eastAsia="SimSun" w:cs="SimSun"/>
          <w:color w:val="000000"/>
          <w:sz w:val="21"/>
          <w:u w:val="single"/>
        </w:rPr>
        <w:t xml:space="preserve">                     </w:t>
      </w:r>
      <w:r>
        <w:rPr>
          <w:rFonts w:ascii="SimSun" w:hAnsi="SimSun" w:eastAsia="SimSun" w:cs="SimSun"/>
          <w:color w:val="000000"/>
          <w:sz w:val="21"/>
        </w:rPr>
        <w:t xml:space="preserve">      邮编：</w:t>
      </w:r>
      <w:r>
        <w:rPr>
          <w:rFonts w:ascii="SimSun" w:hAnsi="SimSun" w:eastAsia="SimSun" w:cs="SimSun"/>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法定代表人或委托代理人（签字或盖章）：</w:t>
      </w:r>
      <w:r>
        <w:rPr>
          <w:rFonts w:ascii="SimSun" w:hAnsi="SimSun" w:eastAsia="SimSun" w:cs="SimSun"/>
          <w:color w:val="000000"/>
          <w:sz w:val="21"/>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附件：政府采购合同信用融资政策告知函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政府采购合同信用融资政策告知函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各政府采购供应商: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欢迎贵公司参加苏州市政府采购活动!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943"/>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第四章采购内容</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一、项目编号：</w:t>
      </w:r>
      <w:r>
        <w:rPr>
          <w:rFonts w:ascii="SimSun" w:hAnsi="SimSun" w:eastAsia="SimSun" w:cs="SimSun"/>
          <w:color w:val="000000"/>
          <w:sz w:val="21"/>
        </w:rPr>
        <w:t xml:space="preserve">JSZC-320509-SZAD-G2026-0002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二、项目名称：</w:t>
      </w:r>
      <w:r>
        <w:rPr>
          <w:rFonts w:ascii="SimSun" w:hAnsi="SimSun" w:eastAsia="SimSun" w:cs="SimSun"/>
          <w:color w:val="000000"/>
          <w:sz w:val="21"/>
        </w:rPr>
        <w:t xml:space="preserve">吴江区盛泽镇交通设施三年提升项目（2026）</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三、采购方式：</w:t>
      </w:r>
      <w:r>
        <w:rPr>
          <w:rFonts w:ascii="SimSun" w:hAnsi="SimSun" w:eastAsia="SimSun" w:cs="SimSun"/>
          <w:color w:val="000000"/>
          <w:sz w:val="21"/>
        </w:rPr>
        <w:t xml:space="preserve">公开招标</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四、预算金额：</w:t>
      </w:r>
      <w:r>
        <w:rPr>
          <w:rFonts w:ascii="SimSun" w:hAnsi="SimSun" w:eastAsia="SimSun" w:cs="SimSun"/>
          <w:color w:val="000000"/>
          <w:sz w:val="21"/>
        </w:rPr>
        <w:t xml:space="preserve">人民币肆佰零玖万元整（小写：4090000.00元）</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五、最高限价：//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六、服务期限：</w:t>
      </w:r>
      <w:r>
        <w:rPr>
          <w:rFonts w:ascii="SimSun" w:hAnsi="SimSun" w:eastAsia="SimSun" w:cs="SimSun"/>
          <w:color w:val="000000"/>
          <w:sz w:val="21"/>
        </w:rPr>
        <w:t xml:space="preserve">三年（自所有标的物均正常通过验收并开始服务之日起）。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七、服务范围及要求：</w:t>
      </w:r>
      <w:r/>
    </w:p>
    <w:p>
      <w:pPr>
        <w:numPr>
          <w:ilvl w:val="0"/>
          <w:numId w:val="3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服务主设备参数要求</w:t>
      </w:r>
      <w:r/>
    </w:p>
    <w:p>
      <w:pPr>
        <w:ind w:left="2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吴江区盛泽镇交通设施三年提升项目（第一标段）清单</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098"/>
        <w:gridCol w:w="1012"/>
        <w:gridCol w:w="4553"/>
        <w:gridCol w:w="583"/>
        <w:gridCol w:w="556"/>
        <w:gridCol w:w="909"/>
      </w:tblGrid>
      <w:tr>
        <w:trPr>
          <w:trHeight w:val="55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类别</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规格型号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金额（元）</w:t>
            </w:r>
            <w:r/>
          </w:p>
        </w:tc>
      </w:tr>
      <w:tr>
        <w:trPr>
          <w:trHeight w:val="194"/>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电子警察服务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电子警察</w:t>
              <w:br/>
              <w:t xml:space="preserve">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1、摄像单元靶面尺寸：1英寸。</w:t>
              <w:br/>
              <w:t xml:space="preserve">2、视频分辨率和帧率：最大支持4096×2176，视频帧率1fps~30fps可调。</w:t>
              <w:br/>
              <w:t xml:space="preserve">★3、抓拍图片最大分辨率：最大支持4096×2176（不含字符叠加），最大支持4096×2688（含字符叠加）。</w:t>
              <w:br/>
              <w:t xml:space="preserve">4、具有Smart265、H.265（中）、H.264（低、中、高）、MJPEG（中）视频压缩标准设置选项。支持通过IE浏览器或客户端软件设置视频压缩码率为32Kbps～16Mbps。</w:t>
              <w:br/>
              <w:t xml:space="preserve">5、支持显示设备的温度信息，可通过IE浏览器查看设备温度信息。</w:t>
              <w:br/>
              <w:t xml:space="preserve">6、支持将录像或抓拍图片存储至</w:t>
            </w:r>
            <w:r>
              <w:rPr>
                <w:rFonts w:ascii="SimSun" w:hAnsi="SimSun" w:eastAsia="SimSun" w:cs="SimSun"/>
                <w:color w:val="000000"/>
                <w:sz w:val="18"/>
              </w:rPr>
              <w:t xml:space="preserve">TF卡或PC本地。</w:t>
              <w:br/>
              <w:t xml:space="preserve">7、支持TF卡抓拍图自动覆盖功能。支持TF卡热插拔，TF卡最大支持256GB。"</w:t>
              <w:br/>
              <w:t xml:space="preserve">8、设备包含防护罩、高清摄像机、综合控制模块、防雷模块、电源模块、安装支架、存储卡、防尘防水面板、视窗玻璃、遮光筒、LED补光灯等部件。前置黑色遮光筒，深度≥4cm。</w:t>
              <w:br/>
              <w:t xml:space="preserve">9、补光灯为内嵌横向前置LED频闪补光灯，含12颗LED灯珠。"</w:t>
              <w:br/>
              <w:t xml:space="preserve">10、支持区分机动车、非机动车（三轮车、二轮车）、行人。二轮车包括电动二轮车、摩托车、自行车。</w:t>
              <w:br/>
              <w:t xml:space="preserve">11、支持行人、非机动车骑车人人脸抓拍功能。</w:t>
              <w:br/>
              <w:t xml:space="preserve">12、在天气晴朗无雾、目标依次通过</w:t>
            </w:r>
            <w:r>
              <w:rPr>
                <w:rFonts w:ascii="SimSun" w:hAnsi="SimSun" w:eastAsia="SimSun" w:cs="SimSun"/>
                <w:color w:val="000000"/>
                <w:sz w:val="18"/>
              </w:rPr>
              <w:t xml:space="preserve">且无遮挡条件下进行测试，日间环境光照度不低于200lx，夜间辅助光照度不高于50lx。日间行人、非机动车骑车人人脸抓拍率≥98%；夜间行人、非机动车骑车人人脸抓拍率≥98%。</w:t>
              <w:br/>
              <w:t xml:space="preserve">13、支持识别机动车车身颜色结构化属性信息。支持识别机动车车牌号结构化属性信息。支持识别的车牌种类包含GA 36规定的号牌字符，包含新能源汽车号牌、应急车辆专用号牌。支持非机动车骑车人不戴头盔行为抓拍功能。</w:t>
              <w:br/>
              <w:t xml:space="preserve">★14、在LED补光、且环境光照度不大于15 lx下，开启图像低照增强功能后，车内人脸、车辆车身颜色、车辆号牌、车辆周边环境可辨</w:t>
            </w:r>
            <w:r>
              <w:rPr>
                <w:rFonts w:ascii="SimSun" w:hAnsi="SimSun" w:eastAsia="SimSun" w:cs="SimSun"/>
                <w:color w:val="000000"/>
                <w:sz w:val="18"/>
              </w:rPr>
              <w:t xml:space="preserve">。主驾驶人脸检出率≥99%。</w:t>
              <w:br/>
              <w:t xml:space="preserve">★15、在天气晴朗无雾、行为肉眼可辨且号牌无遮挡、无污损条件下进行测试，日间环境光照度不低于200lx，夜间辅助光照度不高于50lx。日间机动车倒车行为捕获率≥99%，车牌号识别准确率≥99%。夜间机动车倒车行为捕获率≥99%，车牌号识别准确率≥99%。</w:t>
              <w:br/>
              <w:t xml:space="preserve">★16、在天气晴朗无雾、行为肉眼可辨且号牌无遮挡、无污损条件下进行测试，日间环境光照度不低于200lx，夜间辅助光照度不高于50lx。日间货车闯红灯行为捕获率≥99%，车牌号识别准确率≥99%。夜间货车闯红灯行为捕获率≥99%</w:t>
            </w:r>
            <w:r>
              <w:rPr>
                <w:rFonts w:ascii="SimSun" w:hAnsi="SimSun" w:eastAsia="SimSun" w:cs="SimSun"/>
                <w:color w:val="000000"/>
                <w:sz w:val="18"/>
              </w:rPr>
              <w:t xml:space="preserve">，车牌号识别准确率≥99%。</w:t>
              <w:br/>
              <w:t xml:space="preserve">★17、在环境光照度不大于10lx下，选择AI超微光电警工作模式，抓拍图片中，车辆类型、车身颜色、号牌、车标、周边环境（斑马线、停车线、黄白虚实线）、非机动车、行人肉眼可辨。车牌号识别准确率≥99%。车身颜色识别准确率≥99%。车辆类型识别准确率≥99%。</w:t>
              <w:br/>
              <w:t xml:space="preserve">★18、在环境光照度不大于3lx下，选择AI超微光电警工作模式，车辆捕获率≥99%。</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7000</w:t>
            </w:r>
            <w:r/>
          </w:p>
        </w:tc>
      </w:tr>
      <w:tr>
        <w:trPr>
          <w:trHeight w:val="133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智能补光灯</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1、内置不少于16颗LED灯珠</w:t>
              <w:br/>
              <w:t xml:space="preserve">2、支持气体闪光及LED混合补光</w:t>
              <w:br/>
              <w:t xml:space="preserve">3、支持日夜模式切换</w:t>
              <w:br/>
              <w:t xml:space="preserve">4、白天使用气体闪光补光，夜晚使用LED低亮不挂钩</w:t>
              <w:br/>
              <w:t xml:space="preserve">5、气体闪光≤50ms,LED≤20ms</w:t>
              <w:br/>
              <w:t xml:space="preserve">6、气体闪光≤1000万次</w:t>
              <w:br/>
              <w:t xml:space="preserve">7、频闪和爆闪方式补光可与外接摄像机抓拍同步</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1400</w:t>
            </w:r>
            <w:r/>
          </w:p>
        </w:tc>
      </w:tr>
      <w:tr>
        <w:trPr>
          <w:trHeight w:val="190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前端存储</w:t>
              <w:br/>
              <w:t xml:space="preserve">主机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1、采用linux操作系统，嵌入式架构；</w:t>
              <w:br/>
              <w:t xml:space="preserve">★2、最大支持16路视频输入通道、存储及转发；</w:t>
              <w:br/>
              <w:t xml:space="preserve">★3、支持以列表展示硬盘存储数据，包括序号、摄像机IP地址、车道号、过车时间、违法行为、车牌号码、车速、图片、视频状态、平台上传状态；</w:t>
              <w:br/>
              <w:t xml:space="preserve">4、采用具有模拟接口的外置温度传感器，以螺丝方式固定于机壳，可通过日志查看设备运行温度；</w:t>
              <w:br/>
              <w:t xml:space="preserve">★5、支持查看当前运行模式、CPU使用率、内存、硬盘、硬盘温度、下载视频、匹配总数、匹配成功数、OSD处理总数等运行状态；</w:t>
              <w:br/>
              <w:t xml:space="preserve">★6、支持对接入的摄像机进行关联平台设置，包括关联平台、行驶方向、抓拍方</w:t>
            </w:r>
            <w:r>
              <w:rPr>
                <w:rFonts w:ascii="SimSun" w:hAnsi="SimSun" w:eastAsia="SimSun" w:cs="SimSun"/>
                <w:color w:val="000000"/>
                <w:sz w:val="18"/>
              </w:rPr>
              <w:t xml:space="preserve">向，抓拍方向包括车头、车尾</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5200</w:t>
            </w:r>
            <w:r/>
          </w:p>
        </w:tc>
      </w:tr>
      <w:tr>
        <w:trPr>
          <w:trHeight w:val="21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红灯信号</w:t>
              <w:br/>
              <w:t xml:space="preserve">检测器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1、支持16个红灯相位信号输入接口；</w:t>
              <w:br/>
              <w:t xml:space="preserve">2、信号输出接口：232/485/CAN；</w:t>
              <w:br/>
              <w:t xml:space="preserve">3、16路LED状态指示灯；</w:t>
              <w:br/>
              <w:t xml:space="preserve">4、灯电压适应范围宽：AC64V~300V；</w:t>
              <w:br/>
              <w:t xml:space="preserve">5、工作温度：-40℃～+80℃；</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网络信息箱及配套辅材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1、新增抱杆设备箱（600mm*400mm*200mm，不锈钢材质厚度&gt;0.8mm、外观喷塑，张贴标识，含安装）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2、新增落地设备箱（箱体尺寸450mm*530mm*1000mm，不锈钢材质厚度&gt;0.8mm、外观喷塑，张贴标识，基础尺寸600mm×500mm×800mm，混凝土型号：c25商砼）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3、新增防雷器（增强阻燃尼龙材质、保护电源和网络、最大传输速率不低于百兆）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4、新增网线（六类带屏蔽成品网线、含安装，长度根据实际情况选择，按3米计算）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5、新增电源线1（规格：RVV3*1.5，含穿管及安装）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6、新增电源线2（规格：RVV3*2.5，含穿管及安装）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7、新增信号线（规格：RVVV2*0.5，含穿管及安装）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r>
      <w:tr>
        <w:trPr>
          <w:trHeight w:val="57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8、新增光交换机（8个千兆电口+2个千兆SFP光口，含电源，含1个光模块，物理端口：2千兆光口+8千兆电组成，交换容量：30.4Gbps，转发速率：22.61Mpps，光纤端口：1000Base-GX端口）</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780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9、新增尾纤（含熔纤、穿管及安装）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10、新增插座（5口插线板，含安装）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杆件、挑臂及配套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1、新增6.5米F杆，配套挑臂长度（3米-6米），基础尺寸1000mm*1000mm*1800mm（含地笼材料/混凝土型号C25）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7280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2、新增6.5米F杆，配套挑臂长度（7米-10米），基础尺寸1200mm*1200mm*1800mm（含地笼材料/混凝土型号C25）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3、新增6.5米F杆，配套挑臂长度（11米-14米），基础尺寸1500mm*1500mm*2000mm（含地笼材料/混凝土型号C25）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4、新增6.5米F杆，配套挑臂长度（15米及以上），基础尺寸2000mm*2000mm*2500mm（含地笼材料/混凝土型号C25）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16300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5、新增6.5米T杆，配套挑臂长度（5米-6米），基础尺寸1200mm*1200mm*1800mm（含地笼材料/混凝土型号C25）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6、新增6.5米T杆，配套挑臂长度（7米-10米），基础尺寸1500mm*1500mm*2000mm（含地笼材料/混凝土型号C25）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7、新增6.5米T杆，配套挑臂长度（11米-14米），基础尺寸2000mm*2000mm*2500mm（含地笼材料/混凝土型号C25）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11500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8、新增手井（尺寸600*400*300，含井盖、井框及开挖、安装）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道路绿化开挖</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1、新增绿化开挖（包含绿化、道路等开挖及恢复）</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r>
      <w:tr>
        <w:trPr>
          <w:trHeight w:val="2721"/>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1、输入：网络式交通数据接入通讯板，通过通信接口连接各种车辆检测器，如线圈车辆检测器、视频检测器、微波检测器等。</w:t>
              <w:br/>
              <w:t xml:space="preserve">2、输出：灯控制输出：48 路，单路最大输出功率≥300W，最大输出总功率≥6kW。</w:t>
              <w:br/>
              <w:t xml:space="preserve">3、主控板通信口：上位机通信接口：RS232C串口、以太网口；设备通信接口：RS232C。</w:t>
              <w:br/>
              <w:t xml:space="preserve">4、 支持高峰、平峰等多时段控制。最大日计划调度数128个，日最大时段数48个，最大配时方案数64个，最大相位数64个。</w:t>
              <w:br/>
              <w:t xml:space="preserve">5、 支持最大灯组数48个（可扩展至64个），最大可连接32路线圈检测器，可接4路以上行人过街按钮</w:t>
            </w:r>
            <w:r>
              <w:rPr>
                <w:rFonts w:ascii="SimSun" w:hAnsi="SimSun" w:eastAsia="SimSun" w:cs="SimSun"/>
                <w:color w:val="000000"/>
                <w:sz w:val="18"/>
              </w:rPr>
              <w:t xml:space="preserve">，可以连接地磁、视频、线圈等多种检测器，可设定为战略、感应检测器。信号机采集的交通数据包括流量、占有率等数据，并根据各种交通控制需求，预处理成相应的交通数据格式。</w:t>
              <w:br/>
              <w:t xml:space="preserve">6、故障检测：信号灯驱动回路故障检测；绿冲突故障检测；红灯不亮故障检测。</w:t>
              <w:br/>
              <w:t xml:space="preserve">7、故障保护：具备独立黄闪控制器，支持在电源切断、电器部件损坏等情况下应急黄闪；发生绿冲突、红灯不亮、红绿灯同亮故障，信号机进入黄闪保安状态。</w:t>
              <w:br/>
              <w:t xml:space="preserve">8、电源：交流220±44V、50Hz±2Hz。</w:t>
              <w:br/>
              <w:t xml:space="preserve">9、 绝缘：绝缘电阻：≥10MΩ，耐压：≥1500V。</w:t>
              <w:br/>
              <w:t xml:space="preserve">10、断电后参数保留时间</w:t>
            </w:r>
            <w:r>
              <w:rPr>
                <w:rFonts w:ascii="SimSun" w:hAnsi="SimSun" w:eastAsia="SimSun" w:cs="SimSun"/>
                <w:color w:val="000000"/>
                <w:sz w:val="18"/>
              </w:rPr>
              <w:t xml:space="preserve">：断电后参数能够保留。</w:t>
              <w:br/>
              <w:t xml:space="preserve">11、使用环境：室外环境，工作温度：-40℃～＋70℃；A级耐温；相对湿度：45％～95％（无冷凝）。</w:t>
              <w:br/>
              <w:t xml:space="preserve">12、网络通讯异常处置：网络风暴防范处理。</w:t>
              <w:br/>
              <w:t xml:space="preserve">13、校时装置：支持校时，实现信号机自动校时。</w:t>
              <w:br/>
              <w:t xml:space="preserve">14、手动控制面板：具有黄闪、全红、步进控制功能，含防护锁具，具备中心授权功能。</w:t>
              <w:br/>
              <w:t xml:space="preserve">15、通讯检测板：具有通过内嵌的模块化通信式数据接口模块。</w:t>
              <w:br/>
              <w:t xml:space="preserve">16、应急电源接入：符合 GB25280-2016《道路交通信号控制机》，提供应急电源接口，在出现断电情况下，可接入应急电源。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29000</w:t>
            </w:r>
            <w:r/>
          </w:p>
        </w:tc>
      </w:tr>
      <w:tr>
        <w:trPr>
          <w:trHeight w:val="57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1、满屏灯，含灯盘，按照路口样式，防护等级IP55，具备在线升级功能、故障检测功能、当信号灯收不到脉冲触发信号，则倒计时不显示；发光单元采用无色有配光设计诱光面</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2240</w:t>
            </w:r>
            <w:r/>
          </w:p>
        </w:tc>
      </w:tr>
      <w:tr>
        <w:trPr>
          <w:trHeight w:val="57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2、箭头灯，含灯盘，按照路口样式，防护等级IP55，具备在线升级功能、故障检测功能、当信号灯收不到脉冲触发信号，则倒计时不显示；发光单元采用无色有配光设计诱光面</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3、非机动车信号灯，绝缘电阻：≥500MΩ，介电强度：≥1440VAC，可视距离：≥300M</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4、人行信号灯，含灯盘，防护等级IP55，发光单元采用无色有配光设计诱光面</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配套线路</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1、新增红绿灯信号线（规格：RVV4*0.5，含穿管及安装）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2、新增信号机灯控线1（规格：RVV4*1.0，含穿管及安装）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3、新增信号机灯控线2（规格：RVV4*1.5，含穿管及安装）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4、新增信号机灯控线3（规格：RVV6*1.0，含穿管及安装）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r>
      <w:tr>
        <w:trPr>
          <w:trHeight w:val="151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球型监控服务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球型监控</w:t>
              <w:br/>
              <w:t xml:space="preserve">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★1、设备应采用1/1.8英寸高性能传感器，总像素400万像素。</w:t>
              <w:br/>
              <w:t xml:space="preserve">2、设备的最低照度至少为0.0002Lux(彩色)，0.0001Lux(黑白)。</w:t>
              <w:br/>
              <w:t xml:space="preserve">3、设备最大应支持分辨率2688×1520，帧率在1-60fps可调。</w:t>
              <w:br/>
              <w:t xml:space="preserve">4、设备内置GPU芯片，33倍光学变倍，焦距4.5~180mm电动变焦镜头</w:t>
              <w:br/>
              <w:t xml:space="preserve">5、当环境照度低于一定值时，通过红外灯照射，可探测距离500米处所摄目标的轮廓和状态。设备应采用最新的H.265视频编码算法，同时为兼容旧有设备，支持H.264（Main Profile，High Profile，B</w:t>
            </w:r>
            <w:r>
              <w:rPr>
                <w:rFonts w:ascii="SimSun" w:hAnsi="SimSun" w:eastAsia="SimSun" w:cs="SimSun"/>
                <w:color w:val="000000"/>
                <w:sz w:val="18"/>
              </w:rPr>
              <w:t xml:space="preserve">asic Profile）及MJPEG。</w:t>
              <w:br/>
              <w:t xml:space="preserve">6、设备应该支持2D/3D数字降噪，强光抑制，宽动态，透雾，背光补偿等能够提升图像效果的功能。</w:t>
              <w:br/>
              <w:t xml:space="preserve">★7、设备应支持AEC回声抵消，在语音对讲时可抵消回声影响。设备应支持混音录像功能，可实现远程及本地声音同步录像。</w:t>
              <w:br/>
              <w:t xml:space="preserve">8、设备应支持警戒线穿越、区域入侵、区域离开、人员聚集、物品遗留、声音异常、视频遮挡、人脸检测等智能分析功能。</w:t>
              <w:br/>
              <w:t xml:space="preserve">9、设备内置方位传感器，可自动检测球机转动方位并实时显示。</w:t>
              <w:br/>
              <w:t xml:space="preserve">10、设备音频编码格式应支持AAC_LC、G.711a、G.711u、G.726音频编</w:t>
            </w:r>
            <w:r>
              <w:rPr>
                <w:rFonts w:ascii="SimSun" w:hAnsi="SimSun" w:eastAsia="SimSun" w:cs="SimSun"/>
                <w:color w:val="000000"/>
                <w:sz w:val="18"/>
              </w:rPr>
              <w:t xml:space="preserve">码标准。</w:t>
              <w:br/>
              <w:t xml:space="preserve">11、设备应支持SD卡本地存储，可支持512G容量。</w:t>
              <w:br/>
              <w:t xml:space="preserve">12、支持360°水平旋转，支持-35°~90°垂直旋转，水平速度不小于200°/s，垂直速度不小于160°/s，云台定位精度不大于0.01°。</w:t>
              <w:br/>
              <w:t xml:space="preserve">★13、支持进行自定义文字转语音功能，通过摄像机web界面输入文字后，支持输入文字自动转化为语音文件，并通过扬声器播报输出；</w:t>
              <w:br/>
              <w:t xml:space="preserve">★14、支持不少于10个布控人脸库及黑、白名单人脸库分类，布控人脸库可存储不低于15万张人脸照片，人脸建模速度不低于10张/秒</w:t>
              <w:br/>
              <w:t xml:space="preserve">★15、支持识别至少16种常见车型，包含轿车、客</w:t>
            </w:r>
            <w:r>
              <w:rPr>
                <w:rFonts w:ascii="SimSun" w:hAnsi="SimSun" w:eastAsia="SimSun" w:cs="SimSun"/>
                <w:color w:val="000000"/>
                <w:sz w:val="18"/>
              </w:rPr>
              <w:t xml:space="preserve">车、中型客车、大型客车、面包车（小客）、重型货车、中型货车、轻型货车、小货车、SUV、MPV、皮卡、油罐车、集装箱车、吊车、工程车等</w:t>
              <w:br/>
              <w:t xml:space="preserve">★16、支持在白天环境光照度不低于200lx，夜间光照度不高于30lx环境下，机动车辆目标检测抓拍率：白天≥99%，夜间≥99%</w:t>
              <w:br/>
              <w:t xml:space="preserve">17、设备应具备1×RJ45、1×SD卡、1×LineIn、1×LineOut、4×开关量报警输入、2×开关量报警输出、1×AC24V接口</w:t>
              <w:br/>
              <w:t xml:space="preserve">★18、支持戴口罩、未戴口罩、戴墨镜、未戴安全帽、人员超员（超员数目可设）、非机动车未戴头盔，电动车进入、非</w:t>
            </w:r>
            <w:r>
              <w:rPr>
                <w:rFonts w:ascii="SimSun" w:hAnsi="SimSun" w:eastAsia="SimSun" w:cs="SimSun"/>
                <w:color w:val="000000"/>
                <w:sz w:val="18"/>
              </w:rPr>
              <w:t xml:space="preserve">机动车违规载人、机动车违停、机动车逆行检测等智能事件告警；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3900</w:t>
            </w:r>
            <w:r/>
          </w:p>
        </w:tc>
      </w:tr>
      <w:tr>
        <w:trPr>
          <w:trHeight w:val="251"/>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枪型监控服务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枪型监控</w:t>
              <w:br/>
              <w:t xml:space="preserve">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★1、传感器：≥400万像素CMOS传感器；靶面尺寸：≥1/1.8”;</w:t>
              <w:br/>
              <w:t xml:space="preserve">2、焦距：≥2.8mm,支持自动变焦及一键聚焦功能，变焦过程图像不会完全虚焦；</w:t>
              <w:br/>
              <w:t xml:space="preserve">3、图像分辨率：≥2560×1440;</w:t>
              <w:br/>
              <w:t xml:space="preserve">★4、最低照度：彩色：≤0.00021x,黑白：≤0.00011x；光圈：≥F1.2;宽动态：≥120dB;</w:t>
              <w:br/>
              <w:t xml:space="preserve">5、补光：混合补光，红外补光距离≥50m;白光补光距离≥30 m;</w:t>
              <w:br/>
              <w:t xml:space="preserve">★6、防护等级：≥IP67；支持GB35114安全加密</w:t>
              <w:br/>
              <w:t xml:space="preserve">★7、设备支持双路音频采集，并可选择监听其中一路或者两路；</w:t>
              <w:br/>
              <w:t xml:space="preserve">★8、支持检测安全帽、头盔</w:t>
            </w:r>
            <w:r>
              <w:rPr>
                <w:rFonts w:ascii="SimSun" w:hAnsi="SimSun" w:eastAsia="SimSun" w:cs="SimSun"/>
                <w:color w:val="000000"/>
                <w:sz w:val="18"/>
              </w:rPr>
              <w:t xml:space="preserve">、鸭舌帽、连衣帽、大檐帽、头巾，支持分析是否打伞，伞颜色、伞颜色深浅；</w:t>
              <w:br/>
              <w:t xml:space="preserve">★9、支持识别主驾、副驾是否打电话、是否系安全带；支持抓拍主驾、副驾人员人脸图片；支持识别输出遮阳板是否打开。</w:t>
              <w:br/>
              <w:t xml:space="preserve">★10、支持识别的车牌种类包含GA 36规定的号牌字符、军队和武警号牌字符以及其他号牌字符，包含武警汽车号牌、军队汽车号牌、使馆汽车号牌、新能源汽车号牌、应急车辆专用号牌；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w:t>
            </w:r>
            <w:r/>
          </w:p>
        </w:tc>
      </w:tr>
      <w:tr>
        <w:trPr>
          <w:trHeight w:val="28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隔离护栏服务</w:t>
              <w:br/>
              <w:t xml:space="preserve">（工艺要求：热浸锌-冲压成型-除油-去灰-清洗-表调-镀膜-清洗-烘干-高温固化-静电粉末喷涂--高温固化-涂层压力检验）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新型交通护栏</w:t>
              <w:br/>
              <w:t xml:space="preserve">（低片H：450）含配套铸铁底座及安装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1、横杆：上横杆：90*80*1.5mm，下横杆：50*50*1.5mm；</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2、竖杆：规格20*40*1.0mm、30*40*1.2mm；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3、立柱：规格：130*90*2.0mm；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9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4、立柱盖板：规格：：150*110*8mm；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5、高度：总高800mm，栏片高度450mm；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74"/>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新型交通护栏</w:t>
              <w:br/>
              <w:t xml:space="preserve">（中片H：650）含配套铸铁底座及安装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1、横杆：上横杆：90*80*1.5mm，下横杆：50*50*1.5mm；</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w:t>
            </w:r>
            <w:r/>
          </w:p>
        </w:tc>
      </w:tr>
      <w:tr>
        <w:trPr>
          <w:trHeight w:val="387"/>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2、竖杆：规格20*40*1.0mm、30*40*1.2mm；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67"/>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3、立柱：规格：130*90*2.0mm；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6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4、立柱盖板：规格：：150*110*8mm；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5、高度：总高1000mm，栏片高度650mm；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16"/>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新型交通护栏</w:t>
              <w:br/>
              <w:t xml:space="preserve">（高片H：850）含配套铸铁底座及安装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1、横杆：上横杆：90*80*1.5mm，下横杆：50*50*1.5mm；</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w:t>
            </w:r>
            <w:r/>
          </w:p>
        </w:tc>
      </w:tr>
      <w:tr>
        <w:trPr>
          <w:trHeight w:val="388"/>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2、竖杆：规格20*40*1.0mm、30*40*1.2mm；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37"/>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3、立柱：规格：130*90*2.0mm；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37"/>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4、立柱盖板：规格：：150*110*8mm；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5、高度：总高1200mm，栏片高度850mm；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安装护栏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1、按照甲方要求，在指定路段安装交通护栏及配套立柱；</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拆除护栏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1、按照甲方要求，在指定路段安装交通护栏拆除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r>
      <w:tr>
        <w:trPr>
          <w:trHeight w:val="38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数据传输服务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国产数据传输服务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1、速度及带宽要求：100M专网光纤直连，按年计算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840</w:t>
            </w:r>
            <w:r/>
          </w:p>
        </w:tc>
      </w:tr>
    </w:tbl>
    <w:p>
      <w:pPr>
        <w:ind w:left="0" w:right="0" w:firstLine="0"/>
        <w:jc w:val="both"/>
        <w:spacing w:before="0" w:after="0" w:line="43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单位需提供符合采购要求的前提下由投标单位出具的产品售后质保期不少于三年的承诺函，承诺函加盖投标单位的公章，否则为无效响应文件（“★”为实质性条款，不可偏离，如偏离响应文件无效。）</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2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吴江区盛泽镇交通设施三年提升项目（第二标段）清单</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108"/>
        <w:gridCol w:w="995"/>
        <w:gridCol w:w="4462"/>
        <w:gridCol w:w="639"/>
        <w:gridCol w:w="598"/>
        <w:gridCol w:w="909"/>
      </w:tblGrid>
      <w:tr>
        <w:trPr>
          <w:trHeight w:val="58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类别</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规格型号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金额（元）</w:t>
            </w:r>
            <w:r/>
          </w:p>
        </w:tc>
      </w:tr>
      <w:tr>
        <w:trPr>
          <w:trHeight w:val="2099"/>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电子警察服务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电子警察设备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★1、像素：≥900万像素</w:t>
              <w:br/>
              <w:t xml:space="preserve">2、传感器：≥1英寸GMOS</w:t>
              <w:br/>
              <w:t xml:space="preserve">3、分辨率：≥4096×2160；</w:t>
              <w:br/>
              <w:t xml:space="preserve">4、视频压缩标准：H.264/H.265/MJPEG</w:t>
              <w:br/>
              <w:t xml:space="preserve">5、存储功能：TF、USB</w:t>
              <w:br/>
              <w:t xml:space="preserve">6、压缩输出码率：32 Kbps~16 Mbps</w:t>
              <w:br/>
              <w:t xml:space="preserve">7、同步输入接口：≥1路SYNC信号灯电源同步输入</w:t>
              <w:br/>
              <w:t xml:space="preserve">8、输出接口：≥7路F+ F-输出接口，可作为补光灯同步输出控制；</w:t>
              <w:br/>
              <w:t xml:space="preserve">9、通讯接口：≥3个RS-485接口,≥1个RS-232接口；≥2个RJ45 10M/100M/1000M自适应以太网口</w:t>
              <w:br/>
              <w:t xml:space="preserve">10、电源：100VAC～240VAC；频率</w:t>
            </w:r>
            <w:r>
              <w:rPr>
                <w:rFonts w:ascii="SimSun" w:hAnsi="SimSun" w:eastAsia="SimSun" w:cs="SimSun"/>
                <w:color w:val="000000"/>
                <w:sz w:val="18"/>
              </w:rPr>
              <w:t xml:space="preserve">：48Hz～52Hz</w:t>
              <w:br/>
              <w:t xml:space="preserve">11、支持车辆检测处理器、雷达、补光灯的接入；</w:t>
              <w:br/>
              <w:t xml:space="preserve">12、支持机动车、二轮车（摩托车、自行车、电动二轮车）、三轮车和行人分类检测</w:t>
              <w:br/>
              <w:t xml:space="preserve">13、支持车辆子品牌识别功能，通过车头可识别7100种，通过车尾可识别3800种，全天识别准确率不低于99%</w:t>
              <w:br/>
              <w:t xml:space="preserve">14、支持识别不少于 39 种车身颜色， 支持识别车身副颜色。</w:t>
              <w:br/>
              <w:t xml:space="preserve">15、支持检测并跟踪指定区域内不少于 245个目标，目标包括机动车、非机动车以及行人。</w:t>
              <w:br/>
              <w:t xml:space="preserve">16、支持分别对11种车型（大货车、中货车、小货车、客车、小轿车、中客车、危险品运输车、校车、面包车、</w:t>
            </w:r>
            <w:r>
              <w:rPr>
                <w:rFonts w:ascii="SimSun" w:hAnsi="SimSun" w:eastAsia="SimSun" w:cs="SimSun"/>
                <w:color w:val="000000"/>
                <w:sz w:val="18"/>
              </w:rPr>
              <w:t xml:space="preserve">环卫车、其他车型）进行不同超速比设置，可设置18个超速比区间。在相同道路上，设备支持根据不同的超速比设置对不同车型进行超速抓拍，并输出不同的超速抓拍结果及违法代码。</w:t>
              <w:br/>
              <w:t xml:space="preserve">★17、支持车辆抓拍,支持抓拍输出车牌局部照片、车窗局部照片、非机动车局部照片、场景全景图片。</w:t>
              <w:br/>
              <w:t xml:space="preserve">★18、白天闯红灯捕获率≥99%;晚上闯红灯捕获率≥99%;</w:t>
              <w:br/>
              <w:t xml:space="preserve">★19、车身颜色识别功能检查 ：支持识别不少于 39 种车身颜色，包括白、黑、红、黄、灰、蓝、绿、粉、紫、暗紫、棕、栗色、银灰、暗灰、白烟、深橙、浅玫瑰、番茄红、橄榄、金、暗橄榄、黄绿、绿</w:t>
            </w:r>
            <w:r>
              <w:rPr>
                <w:rFonts w:ascii="SimSun" w:hAnsi="SimSun" w:eastAsia="SimSun" w:cs="SimSun"/>
                <w:color w:val="000000"/>
                <w:sz w:val="18"/>
              </w:rPr>
              <w:t xml:space="preserve">黄、森林绿、海洋绿、深天蓝、青、深蓝、深红、深绿、深黄、深粉、深紫、深棕、深青、橙、深金、粉红、其他； 支持识别车身副颜色。</w:t>
              <w:br/>
              <w:t xml:space="preserve">★20、车牌识别功能检查 ：支持对25×10 像素～1100×3000 像素的机动车车牌进行抓拍并识别号码； </w:t>
              <w:br/>
              <w:t xml:space="preserve">21、支持抓拍并识别垂直倾斜角度≤45°、水平倾斜角度≤35°、俯仰角度≤40°的机动车车牌号码。 </w:t>
              <w:br/>
              <w:t xml:space="preserve">★22、闯禁行功能检查：支持闯禁行记录功能，可对5种普通车型(包括大货车、中货车、小货车、皮卡车、大客车)及9种特种车型(包括危化品车辆、普通罐车、渣土车、混凝土搅拌车、工</w:t>
            </w:r>
            <w:r>
              <w:rPr>
                <w:rFonts w:ascii="SimSun" w:hAnsi="SimSun" w:eastAsia="SimSun" w:cs="SimSun"/>
                <w:color w:val="000000"/>
                <w:sz w:val="18"/>
              </w:rPr>
              <w:t xml:space="preserve">程车、粉粒物料运输车、吸污车、环卫车、冷链车)进行检测、抓拍记录、识别及图片存储。</w:t>
              <w:br/>
              <w:t xml:space="preserve">★23、车辆子品牌识别功能检查：支持车辆子品牌识别，对车头图片进行分析抓拍，可分析输出OSD叠加7200种车辆子品牌并显示相应的年款，对车尾图片进行分析抓拍，可分析输出 OSD 叠加3900 种车辆子品牌并显示相应的年款。</w:t>
              <w:br/>
              <w:t xml:space="preserve">信号灯状态检测功能检查：支持通过视频检测信号灯状态，支持接收信号机广播的信号灯状态，通过对比判断信号灯的整体运行状况，可在视频预览画面上叠加信号机异常的结果指标。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6700</w:t>
            </w:r>
            <w:r/>
          </w:p>
        </w:tc>
      </w:tr>
      <w:tr>
        <w:trPr>
          <w:trHeight w:val="152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智能补光灯</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1、符合GA/T 1202-2022《交通技术监控成像补光装置通用技术条件》</w:t>
              <w:br/>
              <w:t xml:space="preserve">2、补光装置光源包括LED光源（一级频闪）、气体放电光源（二级脉冲）和红外光源</w:t>
              <w:br/>
              <w:t xml:space="preserve">3、采用LED光源和气灯放电两种光源，LED光源呈圆形排布，气体放电光源前置转轴叶片，支持红外和白光补光切换</w:t>
              <w:br/>
              <w:t xml:space="preserve">4、支持LED频闪、LED爆闪、白光气体爆闪及红外气体爆闪四种补光方式，可通过远程控制切换</w:t>
              <w:br/>
              <w:t xml:space="preserve">5、眩光阀值增量TI≤1.08%</w:t>
              <w:br/>
              <w:t xml:space="preserve">6、防护等级≥IP66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1700</w:t>
            </w:r>
            <w:r/>
          </w:p>
        </w:tc>
      </w:tr>
      <w:tr>
        <w:trPr>
          <w:trHeight w:val="190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前端存储主机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1、采用linux操作系统，嵌入式架构；</w:t>
              <w:br/>
              <w:t xml:space="preserve">★2、最大支持16路视频输入通道、存储及转发；</w:t>
              <w:br/>
              <w:t xml:space="preserve">★3、支持以列表展示硬盘存储数据，包括序号、摄像机IP地址、车道号、过车时间、违法行为、车牌号码、车速、图片、视频状态、平台上传状态；</w:t>
              <w:br/>
              <w:t xml:space="preserve">4、采用具有模拟接口的外置温度传感器，以螺丝方式固定于机壳，可通过日志查看设备运行温度；</w:t>
              <w:br/>
              <w:t xml:space="preserve">★5、支持查看当前运行模式、CPU使用率、内存、硬盘、硬盘温度、下载视频、匹配总数、匹配成功数、OSD处理总数等运行状态；</w:t>
              <w:br/>
              <w:t xml:space="preserve">★6、支持对接入的摄像机进行关联平台设置，包括关联平台、行驶方向、抓拍方</w:t>
            </w:r>
            <w:r>
              <w:rPr>
                <w:rFonts w:ascii="SimSun" w:hAnsi="SimSun" w:eastAsia="SimSun" w:cs="SimSun"/>
                <w:color w:val="000000"/>
                <w:sz w:val="18"/>
              </w:rPr>
              <w:t xml:space="preserve">向，抓拍方向包括车头、车尾</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5200</w:t>
            </w:r>
            <w:r/>
          </w:p>
        </w:tc>
      </w:tr>
      <w:tr>
        <w:trPr>
          <w:trHeight w:val="95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红灯信号检测器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1、支持16个红灯相位信号输入接口；</w:t>
              <w:br/>
              <w:t xml:space="preserve">2、信号输出接口：232/485/CAN；</w:t>
              <w:br/>
              <w:t xml:space="preserve">3、16路LED状态指示灯；</w:t>
              <w:br/>
              <w:t xml:space="preserve">4、灯电压适应范围宽：AC64V~300V；</w:t>
              <w:br/>
              <w:t xml:space="preserve">5、工作温度：-40℃～+80℃；</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网络信息箱及配套辅材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1、新增抱杆设备箱（600mm*400mm*200mm，不锈钢材质厚度&gt;0.8mm、外观喷塑，张贴标识，含安装）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2、新增落地设备箱（箱体尺寸450mm*530mm*1000mm，不锈钢材质厚度&gt;0.8mm、外观喷塑，张贴标识，基础尺寸600mm×500mm×800mm，混凝土型号：c25商砼）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3、新增防雷器（增强阻燃尼龙材质、保护电源和网络、最大传输速率不低于百兆）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4、新增网线（六类带屏蔽成品网线、含安装，长度根据实际情况选择，按3米计算）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5、新增电源线1（规格：RVV3*1.5，含穿管及安装）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6、新增电源线2（规格：RVV3*2.5，含穿管及安装）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7、新增信号线（规格：RVVV2*0.5，含穿管及安装）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r>
      <w:tr>
        <w:trPr>
          <w:trHeight w:val="57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8、新增光交换机（8个千兆电口+2个千兆SFP光口，含电源，含1个光模块，物理端口：2千兆光口+8千兆电组成，交换容量：30.4Gbps，转发速率：22.61Mpps，光纤端口：1000Base-GX端口）</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780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9、新增尾纤（含熔纤、穿管及安装）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10、新增插座（5口插线板，含安装）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杆件、挑臂及配套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1、新增6.5米F杆，配套挑臂长度（3米-6米），基础尺寸1000mm*1000mm*1800mm（含地笼材料/混凝土型号C25）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7280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2、新增6.5米F杆，配套挑臂长度（7米-10米），基础尺寸1200mm*1200mm*1800mm（含地笼材料/混凝土型号C25）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3、新增6.5米F杆，配套挑臂长度（11米-14米），基础尺寸1500mm*1500mm*2000mm（含地笼材料/混凝土型号C25）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4、新增6.5米F杆，配套挑臂长度（15米及以上），基础尺寸2000mm*2000mm*2500mm（含地笼材料/混凝土型号C25）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16300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5、新增6.5米T杆，配套挑臂长度（5米-6米），基础尺寸1200mm*1200mm*1800mm（含地笼材料/混凝土型号C25）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6、新增6.5米T杆，配套挑臂长度（7米-10米），基础尺寸1500mm*1500mm*2000mm（含地笼材料/混凝土型号C25）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7、新增6.5米T杆，配套挑臂长度（11米-14米），基础尺寸2000mm*2000mm*2500mm（含地笼材料/混凝土型号C25）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11500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8、新增手井（尺寸600*400*300，含井盖、井框及开挖、安装）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420</w:t>
            </w:r>
            <w:r/>
          </w:p>
        </w:tc>
      </w:tr>
      <w:tr>
        <w:trPr>
          <w:trHeight w:val="9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道路绿化开挖</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1、新增绿化开挖（包含绿化、道路等开挖及恢复）</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r>
      <w:tr>
        <w:trPr>
          <w:trHeight w:val="278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1、输入：网络式交通数据接入通讯板，通过通信接口连接各种车辆检测器，如线圈车辆检测器、视频检测器、微波检测器等。</w:t>
              <w:br/>
              <w:t xml:space="preserve">2、输出：灯控制输出：48 路，单路最大输出功率≥300W，最大输出总功率≥6kW。</w:t>
              <w:br/>
              <w:t xml:space="preserve">3、主控板通信口：上位机通信接口：RS232C串口、以太网口；设备通信接口：RS232C。</w:t>
              <w:br/>
              <w:t xml:space="preserve">4、 支持高峰、平峰等多时段控制。最大日计划调度数128个，日最大时段数48个，最大配时方案数64个，最大相位数64个。</w:t>
              <w:br/>
              <w:t xml:space="preserve">5、 支持最大灯组数48个（可扩展至64个），最大可连接32路线圈检测器，可接4路以上行人过街按钮</w:t>
            </w:r>
            <w:r>
              <w:rPr>
                <w:rFonts w:ascii="SimSun" w:hAnsi="SimSun" w:eastAsia="SimSun" w:cs="SimSun"/>
                <w:color w:val="000000"/>
                <w:sz w:val="18"/>
              </w:rPr>
              <w:t xml:space="preserve">，可以连接地磁、视频、线圈等多种检测器，可设定为战略、感应检测器。信号机采集的交通数据包括流量、占有率等数据，并根据各种交通控制需求，预处理成相应的交通数据格式。</w:t>
              <w:br/>
              <w:t xml:space="preserve">6、故障检测：信号灯驱动回路故障检测；绿冲突故障检测；红灯不亮故障检测。</w:t>
              <w:br/>
              <w:t xml:space="preserve">7、故障保护：具备独立黄闪控制器，支持在电源切断、电器部件损坏等情况下应急黄闪；发生绿冲突、红灯不亮、红绿灯同亮故障，信号机进入黄闪保安状态。</w:t>
              <w:br/>
              <w:t xml:space="preserve">8、电源：交流220±44V、50Hz±2Hz。</w:t>
              <w:br/>
              <w:t xml:space="preserve">9、 绝缘：绝缘电阻：≥10MΩ，耐压：≥1500V。</w:t>
              <w:br/>
              <w:t xml:space="preserve">10、断电后参数保留时间</w:t>
            </w:r>
            <w:r>
              <w:rPr>
                <w:rFonts w:ascii="SimSun" w:hAnsi="SimSun" w:eastAsia="SimSun" w:cs="SimSun"/>
                <w:color w:val="000000"/>
                <w:sz w:val="18"/>
              </w:rPr>
              <w:t xml:space="preserve">：断电后参数能够保留。</w:t>
              <w:br/>
              <w:t xml:space="preserve">11、使用环境：室外环境，工作温度：-40℃～＋70℃；A级耐温；相对湿度：45％～95％（无冷凝）。</w:t>
              <w:br/>
              <w:t xml:space="preserve">12、网络通讯异常处置：网络风暴防范处理。</w:t>
              <w:br/>
              <w:t xml:space="preserve">13、校时装置：支持校时，实现信号机自动校时。</w:t>
              <w:br/>
              <w:t xml:space="preserve">14、手动控制面板：具有黄闪、全红、步进控制功能，含防护锁具，具备中心授权功能。</w:t>
              <w:br/>
              <w:t xml:space="preserve">15、通讯检测板：具有通过内嵌的模块化通信式数据接口模块。</w:t>
              <w:br/>
              <w:t xml:space="preserve">16、应急电源接入：符合 GB25280-2016《道路交通信号控制机》，提供应急电源接口，在出现断电情况下，可接入应急电源。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29000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1、满屏灯，含灯盘，按照路口样式，防护等级IP55，具备在线升级功能、故障检测功能、当信号灯收不到脉冲触发信号，则倒计时不显示；发光单元采用无色有配光设计诱光面</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2240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2、箭头灯，含灯盘，按照路口样式，防护等级IP55，具备在线升级功能、故障检测功能、当信号灯收不到脉冲触发信号，则倒计时不显示；发光单元采用无色有配光设计诱光面</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3、非机动车信号灯，绝缘电阻：≥500MΩ，介电强度：≥1440VAC，可视距离：≥300M</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4、人行信号灯，含灯盘，防护等级IP55，发光单元采用无色有配光设计诱光面</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配套线路</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1、新增红绿灯信号线（规格：RVV4*0.5，含穿管及安装）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2、新增信号机灯控线1（规格：RVV4*1.0，含穿管及安装）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3、新增信号机灯控线2（规格：RVV4*1.5，含穿管及安装）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4、新增信号机灯控线3（规格：RVV6*1.0，含穿管及安装）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r>
      <w:tr>
        <w:trPr>
          <w:trHeight w:val="134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事故预防</w:t>
              <w:br/>
              <w:t xml:space="preserve">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预警服务1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1、道口事故预警：分体式主路预警；</w:t>
              <w:br/>
              <w:t xml:space="preserve">2、材质：钣金外壳一体成型，表面喷塑；</w:t>
              <w:br/>
              <w:t xml:space="preserve">3、主机外观尺寸：1200*320*130mm；</w:t>
              <w:br/>
              <w:t xml:space="preserve">4、功率：200W ；</w:t>
              <w:br/>
              <w:t xml:space="preserve">5、电压：供电电压AC 220V，工作电压DC 12V；</w:t>
              <w:br/>
              <w:t xml:space="preserve">6、防护等级：IP55；</w:t>
              <w:br/>
              <w:t xml:space="preserve">7、主动发光文字标志：点阵灯珠文字发光，文字内容：主路来车/有人横穿/盲区有人/对向来车或前方来车；</w:t>
              <w:br/>
              <w:t xml:space="preserve">8、LED红蓝警示爆闪灯：尺寸：105*75*10mm；</w:t>
              <w:br/>
              <w:t xml:space="preserve">9、智能语音模块：含语音芯片、功放模块，可提供高保真人声发音，最大声压级110分贝；</w:t>
              <w:br/>
              <w:t xml:space="preserve">10、智能雷达检测器：天线角度：</w:t>
            </w:r>
            <w:r>
              <w:rPr>
                <w:rFonts w:ascii="SimSun" w:hAnsi="SimSun" w:eastAsia="SimSun" w:cs="SimSun"/>
                <w:color w:val="000000"/>
                <w:sz w:val="18"/>
              </w:rPr>
              <w:t xml:space="preserve">24°×37°，最远检测距离80到100米，可区分及过滤靠近或离开的交通对象；</w:t>
              <w:br/>
              <w:t xml:space="preserve">11、智能交通视频检测器：≥200万像素的筒型摄像机，最低照度≥0.002Lux，护等级：IP67，支持算法学习，支持区域有人存在持续报警检测模式；视频本地储存介质为Micro SD卡，最大支持512G；</w:t>
              <w:br/>
              <w:t xml:space="preserve">12、嵌入式系统控制主板：具有主从机配组功能，具有通讯加密功能，具有备用电池功能，具有静电放电抗干扰功能，支持远程无线通讯报警；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12800</w:t>
            </w:r>
            <w:r/>
          </w:p>
        </w:tc>
      </w:tr>
      <w:tr>
        <w:trPr>
          <w:trHeight w:val="323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预警服务2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1、道口事故预警：分体式支路预警；</w:t>
              <w:br/>
              <w:t xml:space="preserve">2、材质：钣金外壳一体成型，表面喷塑；</w:t>
              <w:br/>
              <w:t xml:space="preserve">3、主机外观尺寸：1200*320*130mm；</w:t>
              <w:br/>
              <w:t xml:space="preserve">4、功率：200W ；</w:t>
              <w:br/>
              <w:t xml:space="preserve">5、电压：供电电压AC 220V，工作电压DC 12V；</w:t>
              <w:br/>
              <w:t xml:space="preserve">6、防护等级：IP55；</w:t>
              <w:br/>
              <w:t xml:space="preserve">7、主动发光文字标志：点阵灯珠文字发光，文字内容：主路来车/有人横穿/盲区有人/对向来车或前方来车；</w:t>
              <w:br/>
              <w:t xml:space="preserve">8、LED红蓝警示爆闪灯：尺寸：105*75*10mm；</w:t>
              <w:br/>
              <w:t xml:space="preserve">9、智能语音模块：含语音芯片、功放模块，可提供高保真人声发音，最大声压级110分贝；</w:t>
              <w:br/>
              <w:t xml:space="preserve">10、智能雷达检测器：天线角度：</w:t>
            </w:r>
            <w:r>
              <w:rPr>
                <w:rFonts w:ascii="SimSun" w:hAnsi="SimSun" w:eastAsia="SimSun" w:cs="SimSun"/>
                <w:color w:val="000000"/>
                <w:sz w:val="18"/>
              </w:rPr>
              <w:t xml:space="preserve">24°×37°，最远检测距离80到100米，可区分及过滤靠近或离开的交通对象；</w:t>
              <w:br/>
              <w:t xml:space="preserve">11、智能交通视频检测器：≥200万像素的筒型摄像机，最低照度≥0.002Lux，护等级：IP67，支持算法学习，支持区域有人存在持续报警检测模式；视频本地储存介质为Micro SD卡，最大支持512G；</w:t>
              <w:br/>
              <w:t xml:space="preserve">12、嵌入式系统控制主板：具有主从机配组功能，具有通讯加密功能，具有备用电池功能，具有静电放电抗干扰功能，支持远程无线通讯报警；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13000</w:t>
            </w:r>
            <w:r/>
          </w:p>
        </w:tc>
      </w:tr>
      <w:tr>
        <w:trPr>
          <w:trHeight w:val="323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预警服务3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1、道口事故预警：内轮差预警；</w:t>
              <w:br/>
              <w:t xml:space="preserve">2、材质：钣金外壳一体成型，表面喷塑；</w:t>
              <w:br/>
              <w:t xml:space="preserve">3、主机外观尺寸：1200*320*130mm；</w:t>
              <w:br/>
              <w:t xml:space="preserve">4、功率：200W ；</w:t>
              <w:br/>
              <w:t xml:space="preserve">5、电压：供电电压AC 220V，工作电压DC 12V；</w:t>
              <w:br/>
              <w:t xml:space="preserve">6、防护等级：IP55；</w:t>
              <w:br/>
              <w:t xml:space="preserve">7、主动发光文字标志：点阵灯珠文字发光，文字内容：主路来车/有人横穿/盲区有人/对向来车或前方来车；</w:t>
              <w:br/>
              <w:t xml:space="preserve">8、LED红蓝警示爆闪灯：尺寸：105*75*10mm；</w:t>
              <w:br/>
              <w:t xml:space="preserve">9、智能语音模块：含语音芯片、功放模块，可提供高保真人声发音，最大声压级110分贝；</w:t>
              <w:br/>
              <w:t xml:space="preserve">10、智能雷达检测器：天线角度：24</w:t>
            </w:r>
            <w:r>
              <w:rPr>
                <w:rFonts w:ascii="SimSun" w:hAnsi="SimSun" w:eastAsia="SimSun" w:cs="SimSun"/>
                <w:color w:val="000000"/>
                <w:sz w:val="18"/>
              </w:rPr>
              <w:t xml:space="preserve">°×37°，最远检测距离80到100米，可区分及过滤靠近或离开的交通对象；</w:t>
              <w:br/>
              <w:t xml:space="preserve">11、智能交通视频检测器：≥200万像素的筒型摄像机，最低照度≥0.002Lux，护等级：IP67，支持算法学习，支持区域有人存在持续报警检测模式；视频本地储存介质为Micro SD卡，最大支持512G；</w:t>
              <w:br/>
              <w:t xml:space="preserve">12、嵌入式系统控制主板：具有主从机配组功能，具有通讯加密功能，具有备用电池功能，具有静电放电抗干扰功能，支持远程无线通讯报警；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13390</w:t>
            </w:r>
            <w:r/>
          </w:p>
        </w:tc>
      </w:tr>
      <w:tr>
        <w:trPr>
          <w:trHeight w:val="1234"/>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预警服务4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1、道口事故预警：弯道事故预警；</w:t>
              <w:br/>
              <w:t xml:space="preserve">2、材质：钣金外壳一体成型，表面喷塑；</w:t>
              <w:br/>
              <w:t xml:space="preserve">3、主机外观尺寸：1200*320*130mm；</w:t>
              <w:br/>
              <w:t xml:space="preserve">4、功率：200W ；</w:t>
              <w:br/>
              <w:t xml:space="preserve">5、电压：供电电压AC 220V，工作电压DC 12V；</w:t>
              <w:br/>
              <w:t xml:space="preserve">6、防护等级：IP55；</w:t>
              <w:br/>
              <w:t xml:space="preserve">7、主动发光文字标志：点阵灯珠文字发光，文字内容：主路来车/有人横穿/盲区有人/对向来车或前方来车；</w:t>
              <w:br/>
              <w:t xml:space="preserve">8、LED红蓝警示爆闪灯：尺寸：105*75*10mm；</w:t>
              <w:br/>
              <w:t xml:space="preserve">9、智能语音模块：含语音芯片、功放模块，可提供高保真人声发音，最大声压级110分贝；</w:t>
              <w:br/>
              <w:t xml:space="preserve">10、智能雷达检测器：天线角度：2</w:t>
            </w:r>
            <w:r>
              <w:rPr>
                <w:rFonts w:ascii="SimSun" w:hAnsi="SimSun" w:eastAsia="SimSun" w:cs="SimSun"/>
                <w:color w:val="000000"/>
                <w:sz w:val="18"/>
              </w:rPr>
              <w:t xml:space="preserve">4°×37°，最远检测距离80到100米，可区分及过滤靠近或离开的交通对象；</w:t>
              <w:br/>
              <w:t xml:space="preserve">11、智能交通视频检测器：≥200万像素的筒型摄像机，最低照度≥0.002Lux，护等级：IP67，支持算法学习，支持区域有人存在持续报警检测模式；视频本地储存介质为Micro SD卡，最大支持512G；</w:t>
              <w:br/>
              <w:t xml:space="preserve">12、嵌入式系统控制主板：具有主从机配组功能，具有通讯加密功能，具有备用电池功能，具有静电放电抗干扰功能，支持远程无线通讯报警；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13390</w:t>
            </w:r>
            <w:r/>
          </w:p>
        </w:tc>
      </w:tr>
      <w:tr>
        <w:trPr>
          <w:trHeight w:val="323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预警服务5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1、道口事故预警：斑马线事故预警；</w:t>
              <w:br/>
              <w:t xml:space="preserve">2、材质：钣金外壳一体成型，表面喷塑；</w:t>
              <w:br/>
              <w:t xml:space="preserve">3、主机外观尺寸：1200*320*130mm；</w:t>
              <w:br/>
              <w:t xml:space="preserve">4、功率：200W ；</w:t>
              <w:br/>
              <w:t xml:space="preserve">5、电压：供电电压AC 220V，工作电压DC 12V；</w:t>
              <w:br/>
              <w:t xml:space="preserve">6、防护等级：IP55；</w:t>
              <w:br/>
              <w:t xml:space="preserve">7、主动发光文字标志：点阵灯珠文字发光，文字内容：主路来车/有人横穿/盲区有人/对向来车或前方来车；</w:t>
              <w:br/>
              <w:t xml:space="preserve">8、LED红蓝警示爆闪灯：尺寸：105*75*10mm；</w:t>
              <w:br/>
              <w:t xml:space="preserve">9、智能语音模块：含语音芯片、功放模块，可提供高保真人声发音，最大声压级110分贝；</w:t>
              <w:br/>
              <w:t xml:space="preserve">10、智能雷达检测器：天线角度：</w:t>
            </w:r>
            <w:r>
              <w:rPr>
                <w:rFonts w:ascii="SimSun" w:hAnsi="SimSun" w:eastAsia="SimSun" w:cs="SimSun"/>
                <w:color w:val="000000"/>
                <w:sz w:val="18"/>
              </w:rPr>
              <w:t xml:space="preserve">24°×37°，最远检测距离80到100米，可区分及过滤靠近或离开的交通对象；</w:t>
              <w:br/>
              <w:t xml:space="preserve">11、智能交通视频检测器：≥200万像素的筒型摄像机，最低照度≥0.002Lux，护等级：IP67，支持算法学习，支持区域有人存在持续报警检测模式；视频本地储存介质为Micro SD卡，最大支持512G；</w:t>
              <w:br/>
              <w:t xml:space="preserve">12、嵌入式系统控制主板：具有主从机配组功能，具有通讯加密功能，具有备用电池功能，具有静电放电抗干扰功能，支持远程无线通讯报警；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13380</w:t>
            </w:r>
            <w:r/>
          </w:p>
        </w:tc>
      </w:tr>
      <w:tr>
        <w:trPr>
          <w:trHeight w:val="30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预警服务6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1、道口事故预警：右侧开口事故预警；</w:t>
              <w:br/>
              <w:t xml:space="preserve">2、材质：钣金外壳一体成型，表面喷塑；</w:t>
              <w:br/>
              <w:t xml:space="preserve">3、主机外观尺寸：2400*250*140m；</w:t>
              <w:br/>
              <w:t xml:space="preserve">4、功率：200W ；</w:t>
              <w:br/>
              <w:t xml:space="preserve">5、电压：供电电压AC 220V，工作电压DC 12V；</w:t>
              <w:br/>
              <w:t xml:space="preserve">6、防护等级：IP55；</w:t>
              <w:br/>
              <w:t xml:space="preserve">7、主动发光文字标志：点阵灯珠文字发光，文字内容：右侧来车（可定制）；</w:t>
              <w:br/>
              <w:t xml:space="preserve">8、LED红蓝警示爆闪灯：尺寸：105*75*10mm；</w:t>
              <w:br/>
              <w:t xml:space="preserve">9、智能语音模块：含语音芯片、功放模块，可提供高保真人声发音，最大声压级110分贝；</w:t>
              <w:br/>
              <w:t xml:space="preserve">10、智能雷达检测器：天线角度：24°×37°，最远检测距离8</w:t>
            </w:r>
            <w:r>
              <w:rPr>
                <w:rFonts w:ascii="SimSun" w:hAnsi="SimSun" w:eastAsia="SimSun" w:cs="SimSun"/>
                <w:color w:val="000000"/>
                <w:sz w:val="18"/>
              </w:rPr>
              <w:t xml:space="preserve">0到100米，可区分及过滤靠近或离开的交通对象；</w:t>
              <w:br/>
              <w:t xml:space="preserve">11、智能交通视频检测器：≥200万像素的筒型摄像机，最低照度≥0.002Lux，护等级：IP67，支持算法学习，支持区域有人存在持续报警检测模式；视频本地储存介质为Micro SD卡，最大支持512G；</w:t>
              <w:br/>
              <w:t xml:space="preserve">12、嵌入式系统控制主板：具有主从机配组功能，具有通讯加密功能，具有备用电池功能，具有静电放电抗干扰功能，支持远程无线通讯报警；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13880</w:t>
            </w:r>
            <w:r/>
          </w:p>
        </w:tc>
      </w:tr>
      <w:tr>
        <w:trPr>
          <w:trHeight w:val="372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球型监控</w:t>
              <w:br/>
              <w:t xml:space="preserve">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球型监控设备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★1、设备≥1/1.8英寸800万像素传感器</w:t>
              <w:br/>
              <w:t xml:space="preserve">2、设备最大应支持分辨率4096*2160帧率1fps~60fps可设置</w:t>
              <w:br/>
              <w:t xml:space="preserve">3、设备最低照度满足彩色：0.003Lux@（F1.55，快门速度1/1，彩色模式），黑白：0.0001Lux@（F1.55，快门速度1/1，彩色模式）</w:t>
              <w:br/>
              <w:t xml:space="preserve">4、设备支持H.265/H.264/MJPEG编码格式；可将H.265/H.264格式设置为Baseline/Main/High Profile。</w:t>
              <w:br/>
              <w:t xml:space="preserve">★5、设备应支持50倍光学变倍，焦距范围 f=5.7~285mm；光圈范围为 F1.4-4</w:t>
            </w:r>
            <w:r>
              <w:rPr>
                <w:rFonts w:ascii="SimSun" w:hAnsi="SimSun" w:eastAsia="SimSun" w:cs="SimSun"/>
                <w:color w:val="000000"/>
                <w:sz w:val="18"/>
              </w:rPr>
              <w:t xml:space="preserve">.2</w:t>
              <w:br/>
              <w:t xml:space="preserve">6、设备应支持水平范围0°~360°旋转，水平手控速度不小于300°/s，垂直范围-30°~90°，云台定位精准度偏差不大于±0.01°。</w:t>
              <w:br/>
              <w:t xml:space="preserve">7、设备应支持视频移动侦测能力，并应提供移动侦测报警；应有设备认证、防篡改等功能，宜有加密传输的能力</w:t>
              <w:br/>
              <w:t xml:space="preserve">8、设备应满足图像信噪比大于52dB，水平图像分辨力均不小于1900TVL，亮度等级不小于11级，视频延时不大于300ms。</w:t>
              <w:br/>
              <w:t xml:space="preserve">9、支持三码流同时并发输出:主码流：分辨率3840*2160，帧率30fps，码率6Mbps；辅码流：分辨率1920*1080，帧率30f</w:t>
            </w:r>
            <w:r>
              <w:rPr>
                <w:rFonts w:ascii="SimSun" w:hAnsi="SimSun" w:eastAsia="SimSun" w:cs="SimSun"/>
                <w:color w:val="000000"/>
                <w:sz w:val="18"/>
              </w:rPr>
              <w:t xml:space="preserve">ps，码率 4Mbps；第三流：分辨率704*576，帧率30fps，码率2Mbps</w:t>
              <w:br/>
              <w:t xml:space="preserve">10、设备应该支持强光抑制，光学透雾，感兴趣区域(ROI)等能够提升图像效果的功能。</w:t>
              <w:br/>
              <w:t xml:space="preserve">11、设备音频编码格式应支持AAC_LC、G.711、G.722、G.726音频编码标准。</w:t>
              <w:br/>
              <w:t xml:space="preserve">12、设备支持自动定位，在接收到监控画面内二维区域坐标信息后，可自动将该区域置于监控画面中心并使该区域充满屏幕；可在监视画面上叠加电子罗盘，显示设备当前指向方位角或云台角度信息。</w:t>
              <w:br/>
              <w:t xml:space="preserve">13、设备支持雨刷功能，可通过手动或自动的方式开启雨刷；设备支持字符</w:t>
            </w:r>
            <w:r>
              <w:rPr>
                <w:rFonts w:ascii="SimSun" w:hAnsi="SimSun" w:eastAsia="SimSun" w:cs="SimSun"/>
                <w:color w:val="000000"/>
                <w:sz w:val="18"/>
              </w:rPr>
              <w:t xml:space="preserve">叠加及区域遮盖功能。</w:t>
              <w:br/>
              <w:t xml:space="preserve">14、设备应具有心跳机制，能按SNMP管理协议以固定时间间隔发送和接收设备状态信息；设备应具有故障报警功能，除自动检测设备基本异常信息外，还应包括输出码流、存储设备、心跳情况、供电情况等故障信息；</w:t>
              <w:br/>
              <w:t xml:space="preserve">★15、支持人员属性分析包含年龄属性（儿童、青少年、中年、老年）、微笑属性、姿态属性（正脸、左脸、右脸、左侧脸、右侧脸）、上下衣颜色（上衣纹理、长短、款式、裤子、裙子）、发型属性（长发、短发）</w:t>
              <w:br/>
              <w:t xml:space="preserve">★16、支持戴口罩、未戴口罩、戴墨镜、未戴安全帽、人员超员（超员数目可设）、非机动车未戴头盔，机动</w:t>
            </w:r>
            <w:r>
              <w:rPr>
                <w:rFonts w:ascii="SimSun" w:hAnsi="SimSun" w:eastAsia="SimSun" w:cs="SimSun"/>
                <w:color w:val="000000"/>
                <w:sz w:val="18"/>
              </w:rPr>
              <w:t xml:space="preserve">车违停等智能事件告警</w:t>
              <w:br/>
              <w:t xml:space="preserve">★17、支持识别11种常见车型，包含轿车、大型客车、中型客车、小客车、重型货车、中型货车、小型货车、轻型货车、SUV、MPV、皮卡；常见车型识别准确率≥98%</w:t>
              <w:br/>
              <w:t xml:space="preserve">★18、支持输出危险品车、车窗正副驾驶位人脸、遮阳板打开与否、是否打电话、是否系安全带等检测</w:t>
              <w:br/>
              <w:t xml:space="preserve">19、设备应具备IP66防护等级，在-40°的低温及+70°的高温下都运行正常。</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6200</w:t>
            </w:r>
            <w:r/>
          </w:p>
        </w:tc>
      </w:tr>
      <w:tr>
        <w:trPr>
          <w:trHeight w:val="507"/>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枪型监控服务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枪型监控设备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★1、传感器：≥400万像素CMOS传感器；靶面尺寸：≥1/1.8”;</w:t>
              <w:br/>
              <w:t xml:space="preserve">2、焦距：≥2.8mm,支持自动变焦及一键聚焦功能，变焦过程图像不会完全虚焦；</w:t>
              <w:br/>
              <w:t xml:space="preserve">3、图像分辨率：≥2560×1440;</w:t>
              <w:br/>
              <w:t xml:space="preserve">★4、最低照度：彩色：≤0.00021x,黑白：≤0.00011x；光圈：≥F1.2;宽动态：≥120dB;</w:t>
              <w:br/>
              <w:t xml:space="preserve">5、补光：混合补光，红外补光距离≥50m;白光补光距离≥30 m;</w:t>
              <w:br/>
              <w:t xml:space="preserve">★6、防护等级：≥IP67；支持GB35114安全加密</w:t>
              <w:br/>
              <w:t xml:space="preserve">★7、设备支持双路音频采集，并可选择监听其中一路或者两路；</w:t>
              <w:br/>
              <w:t xml:space="preserve">★8、支持检测安全帽、头盔</w:t>
            </w:r>
            <w:r>
              <w:rPr>
                <w:rFonts w:ascii="SimSun" w:hAnsi="SimSun" w:eastAsia="SimSun" w:cs="SimSun"/>
                <w:color w:val="000000"/>
                <w:sz w:val="18"/>
              </w:rPr>
              <w:t xml:space="preserve">、鸭舌帽、连衣帽、大檐帽、头巾，支持分析是否打伞，伞颜色、伞颜色深浅；</w:t>
              <w:br/>
              <w:t xml:space="preserve">★9、支持识别主驾、副驾是否打电话、是否系安全带；支持抓拍主驾、副驾人员人脸图片；支持识别输出遮阳板是否打开。</w:t>
              <w:br/>
              <w:t xml:space="preserve">★10、支持识别的车牌种类包含GA 36规定的号牌字符、军队和武警号牌字符以及其他号牌字符，包含武警汽车号牌、军队汽车号牌、使馆汽车号牌、新能源汽车号牌、应急车辆专用号牌；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w:t>
            </w:r>
            <w:r/>
          </w:p>
        </w:tc>
      </w:tr>
      <w:tr>
        <w:trPr>
          <w:trHeight w:val="95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非机动车道口遮阳棚</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非机动车道口遮阳棚型号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1、顶结构采用201不锈钢方管焊接（不锈钢方管壁厚不低于2mm），呈双坡面；</w:t>
              <w:br/>
              <w:t xml:space="preserve">2、立柱采用镀锌方管，壁厚不低于3mm，落地脚需含四项一体螺丝孔4个；</w:t>
              <w:br/>
              <w:t xml:space="preserve">3、立柱与地面通过膨胀螺丝进行固定，膨胀螺丝长度不低于120mm；</w:t>
              <w:br/>
              <w:t xml:space="preserve">4、顶部设置蓝色防雨布，与框架全面贴合全固定；</w:t>
              <w:br/>
              <w:t xml:space="preserve">5、所有立柱张贴反光膜；</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1600</w:t>
            </w:r>
            <w:r/>
          </w:p>
        </w:tc>
      </w:tr>
      <w:tr>
        <w:trPr>
          <w:trHeight w:val="57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数据传输</w:t>
              <w:br/>
              <w:t xml:space="preserve">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国产数据传输服务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1、速度及带宽要求：100M专网光纤直连，按年计算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840</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r/>
    </w:p>
    <w:p>
      <w:pPr>
        <w:ind w:left="0" w:right="0" w:firstLine="0"/>
        <w:jc w:val="both"/>
        <w:spacing w:before="0" w:after="0" w:line="43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单位需提供符合采购要求的前提下由投标单位出具的产品售后质保期不少于三年的承诺函，承诺函加盖投标单位的公章，否则为无效响应文件（“★”为实质性条款，不可偏离，如偏离响应文件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吴江区盛泽镇交通设施三年提升项目（第三标段）清单</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1029"/>
        <w:gridCol w:w="1032"/>
        <w:gridCol w:w="4475"/>
        <w:gridCol w:w="607"/>
        <w:gridCol w:w="572"/>
        <w:gridCol w:w="926"/>
      </w:tblGrid>
      <w:tr>
        <w:trPr>
          <w:trHeight w:val="28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类别</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规格型号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金额（元）</w:t>
            </w:r>
            <w:r/>
          </w:p>
        </w:tc>
      </w:tr>
      <w:tr>
        <w:trPr>
          <w:trHeight w:val="708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电子警察</w:t>
              <w:br/>
              <w:t xml:space="preserve">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电子警察设备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★1、像素：≥900万像素</w:t>
              <w:br/>
              <w:t xml:space="preserve">2、传感器：≥1英寸全局曝光CMOS</w:t>
              <w:br/>
              <w:t xml:space="preserve">★3、分辨率：≥4096×2336；</w:t>
              <w:br/>
              <w:t xml:space="preserve">4、输出图片格式：JPEG</w:t>
              <w:br/>
              <w:t xml:space="preserve">5、视频压缩标准：H.264/H.265/MJPEG</w:t>
              <w:br/>
              <w:t xml:space="preserve">6、存储功能：TF、USB</w:t>
              <w:br/>
              <w:t xml:space="preserve">7、压缩输出码率：32 Kbps~16 Mbps</w:t>
              <w:br/>
              <w:t xml:space="preserve">8、同步输入接口：≥1路SYNC信号灯电源同步输入</w:t>
              <w:br/>
              <w:t xml:space="preserve">9、输出接口：≥7路输出接口，可作为补光灯同步输出控制；</w:t>
              <w:br/>
              <w:t xml:space="preserve">10、通讯接口：≥3个RS-485接口,≥1个RS-232接口；≥2个RJ45 10M/100M/1000M自适应以太网口</w:t>
              <w:br/>
              <w:t xml:space="preserve">11、电源：1</w:t>
            </w:r>
            <w:r>
              <w:rPr>
                <w:rFonts w:ascii="SimSun" w:hAnsi="SimSun" w:eastAsia="SimSun" w:cs="SimSun"/>
                <w:color w:val="000000"/>
                <w:sz w:val="18"/>
              </w:rPr>
              <w:t xml:space="preserve">00VAC～240VAC；</w:t>
              <w:br/>
              <w:t xml:space="preserve">12、支持协议：GA/T1400,GB28181,</w:t>
              <w:br/>
              <w:t xml:space="preserve">13、支持机动车、二轮车（摩托车、自行车、电动二轮车）、三轮车和行人分类检测</w:t>
              <w:br/>
              <w:t xml:space="preserve">14、支持黄标车标志检测、异常车牌、夜间未开车灯、行人人脸检测、非机动车驾驶员属性、车窗内挂件识别、年检贴检测、危险品车检测、车身副颜色等多种检测识别功能</w:t>
              <w:br/>
              <w:t xml:space="preserve">15、支持车辆子品牌识别并显示相应的年款，车头≥7500种，车尾≥3900种。</w:t>
              <w:br/>
              <w:t xml:space="preserve">16、支持车辆抓拍，支持抓拍输出车牌局部照片、车窗局部照片、非机动车局部照片、场景全景图片。</w:t>
              <w:br/>
              <w:t xml:space="preserve">★17、支持检测并跟踪指</w:t>
            </w:r>
            <w:r>
              <w:rPr>
                <w:rFonts w:ascii="SimSun" w:hAnsi="SimSun" w:eastAsia="SimSun" w:cs="SimSun"/>
                <w:color w:val="000000"/>
                <w:sz w:val="18"/>
              </w:rPr>
              <w:t xml:space="preserve">定区域内不少于 220个目标，目标包括机动车、非机动车以及行人。</w:t>
              <w:br/>
              <w:t xml:space="preserve">18、在满足GA/T 1202-2022一级补光标准，补光≤20lx 的前提下，抓拍图片满足 GA/T 832-2014标准中3.6.1要求。 配套符合GA/T 1202-2022标准的一级补光灯，设备抓拍车牌、车身颜色、车内前排人脸及衣着均清晰可见。</w:t>
              <w:br/>
              <w:t xml:space="preserve">★19、占用公交车道违章抓拍功能检查：支持占用公交车道违章抓拍，可设置抓拍车辆类型(包括无牌机动车、摩托车等)，且支持过滤出租车。</w:t>
              <w:br/>
              <w:t xml:space="preserve">★20、支持场景划线示意功能检查：支持场景划线示意，可以通过</w:t>
            </w:r>
            <w:r>
              <w:rPr>
                <w:rFonts w:ascii="SimSun" w:hAnsi="SimSun" w:eastAsia="SimSun" w:cs="SimSun"/>
                <w:color w:val="000000"/>
                <w:sz w:val="18"/>
              </w:rPr>
              <w:t xml:space="preserve">图像及文字形式辅助相机场景规则线的配置。</w:t>
              <w:br/>
              <w:t xml:space="preserve">★21、支持自动采集车道、车流量、平均速度、车辆类型、占有率、平均车头时距、平均排队长度、时间段等交通信息数据并进行统计，支持自动上传采集的交通信息数据，上传时间间隔可设置；</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8700</w:t>
            </w:r>
            <w:r/>
          </w:p>
        </w:tc>
      </w:tr>
      <w:tr>
        <w:trPr>
          <w:trHeight w:val="382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智能补光灯</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1、支持暖光LED频闪、暖光LED爆闪、白光氙气爆闪、红外氙气爆闪四种模式；</w:t>
              <w:br/>
              <w:t xml:space="preserve">2、光源：可见光（波长350nm～780nm）；</w:t>
              <w:br/>
              <w:t xml:space="preserve">3、中心光照度：LED：≤5lx（20m平均光照度），≤20lx（20m有效光照度），≤80lx（20m频爆光照度）；氙气：≤4000lx；</w:t>
              <w:br/>
              <w:t xml:space="preserve">4、光斑覆盖范围：1车道；</w:t>
              <w:br/>
              <w:t xml:space="preserve">5、补光距离：16m~26m；</w:t>
              <w:br/>
              <w:t xml:space="preserve">6、闪光持续时间：180μs～500μs；</w:t>
              <w:br/>
              <w:t xml:space="preserve">7、爆闪计数：支持统计爆闪次数和触发次数；</w:t>
              <w:br/>
              <w:t xml:space="preserve">8、闪光灯寿命：≥1000万次；</w:t>
              <w:br/>
              <w:t xml:space="preserve">9、灯珠数量：≥24颗（高亮LED）；</w:t>
              <w:br/>
              <w:t xml:space="preserve">10、光通量：≥10</w:t>
            </w:r>
            <w:r>
              <w:rPr>
                <w:rFonts w:ascii="SimSun" w:hAnsi="SimSun" w:eastAsia="SimSun" w:cs="SimSun"/>
                <w:color w:val="000000"/>
                <w:sz w:val="18"/>
              </w:rPr>
              <w:t xml:space="preserve">00lm；</w:t>
              <w:br/>
              <w:t xml:space="preserve">11、频闪时间统计：支持统计频闪持续时间；</w:t>
              <w:br/>
              <w:t xml:space="preserve">12、红外白光切换：支持；</w:t>
              <w:br/>
              <w:t xml:space="preserve">13、远程故障显示：支持在摄像机WEB上远程显示补光灯故障、正常状态；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1850</w:t>
            </w:r>
            <w:r/>
          </w:p>
        </w:tc>
      </w:tr>
      <w:tr>
        <w:trPr>
          <w:trHeight w:val="3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前端存储主机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1、采用linux操作系统，嵌入式架构；</w:t>
              <w:br/>
              <w:t xml:space="preserve">★2、最大支持16路视频输入通道、存储及转发；</w:t>
              <w:br/>
              <w:t xml:space="preserve">★3、支持以列表展示硬盘存储数据，包括序号、摄像机IP地址、车道号、过车时间、违法行为、车牌号码、车速、图片、视频状态、平台上传状态；</w:t>
              <w:br/>
              <w:t xml:space="preserve">4、采用具有模拟接口的外置温度传感器，以螺丝方式固定于机壳，可通过日志查看设备运行温度；</w:t>
              <w:br/>
              <w:t xml:space="preserve">★5、支持查看当前运行模式、CPU使用率、内存、硬盘、硬盘温度、下载视频、匹配总数、匹配成功数、OSD处理总数等运行状态；</w:t>
              <w:br/>
              <w:t xml:space="preserve">★6、支持对接入的摄像机进行关联平台设置，包括关联平台、行驶方向、抓拍方</w:t>
            </w:r>
            <w:r>
              <w:rPr>
                <w:rFonts w:ascii="SimSun" w:hAnsi="SimSun" w:eastAsia="SimSun" w:cs="SimSun"/>
                <w:color w:val="000000"/>
                <w:sz w:val="18"/>
              </w:rPr>
              <w:t xml:space="preserve">向，抓拍方向包括车头、车尾</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5200</w:t>
            </w:r>
            <w:r/>
          </w:p>
        </w:tc>
      </w:tr>
      <w:tr>
        <w:trPr>
          <w:trHeight w:val="95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红灯信号检测器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1、支持16个红灯相位信号输入接口；</w:t>
              <w:br/>
              <w:t xml:space="preserve">2、信号输出接口：232/485/CAN；</w:t>
              <w:br/>
              <w:t xml:space="preserve">3、16路LED状态指示灯；</w:t>
              <w:br/>
              <w:t xml:space="preserve">4、灯电压适应范围宽：AC64V~300V；</w:t>
              <w:br/>
              <w:t xml:space="preserve">5、工作温度：-40℃～+80℃；</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1120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网络信息箱及配套辅材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1、新增抱杆设备箱（600mm*400mm*200mm，不锈钢材质厚度&gt;0.8mm、外观喷塑，张贴标识，含安装）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550</w:t>
            </w:r>
            <w:r/>
          </w:p>
        </w:tc>
      </w:tr>
      <w:tr>
        <w:trPr>
          <w:trHeight w:val="57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2、新增落地设备箱（箱体尺寸450mm*530mm*1000mm，不锈钢材质厚度&gt;0.8mm、外观喷塑，张贴标识，基础尺寸600mm×500mm×800mm，混凝土型号：c25商砼）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3、新增防雷器（增强阻燃尼龙材质、保护电源和网络、最大传输速率不低于百兆）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4、新增网线（六类带屏蔽成品网线、含安装，长度根据实际情况选择，按3米计算）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5、新增电源线1（规格：RVV3*1.5，含穿管及安装）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6.8</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6、新增电源线2（规格：RVV3*2.5，含穿管及安装）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7、新增信号线（规格：RVVV2*0.5，含穿管及安装）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r>
      <w:tr>
        <w:trPr>
          <w:trHeight w:val="57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8、新增光交换机（8个千兆电口+2个千兆SFP光口，含电源，含1个光模块，物理端口：2千兆光口+8千兆电组成，交换容量：30.4Gbps，转发速率：22.61Mpps，光纤端口：1000Base-GX端口）</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780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9、新增尾纤（含熔纤、穿管及安装）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10、新增插座（5口插线板，含安装）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杆件、挑臂及配套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1、新增6.5米F杆，配套挑臂长度（3米-6米），基础尺寸1000mm*1000mm*1800mm（含地笼材料/混凝土型号C25）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7280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2、新增6.5米F杆，配套挑臂长度（7米-10米），基础尺寸1200mm*1200mm*1800mm（含地笼材料/混凝土型号C25）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9000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3、新增6.5米F杆，配套挑臂长度（11米-14米），基础尺寸1500mm*1500mm*2000mm（含地笼材料/混凝土型号C25）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4、新增6.5米F杆，配套挑臂长度（15米及以上），基础尺寸2000mm*2000mm*2500mm（含地笼材料/混凝土型号C25）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16300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5、新增6.5米T杆，配套挑臂长度（5米-6米），基础尺寸1200mm*1200mm*1800mm（含地笼材料/混凝土型号C25）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7500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6、新增6.5米T杆，配套挑臂长度（7米-10米），基础尺寸1500mm*1500mm*2000mm（含地笼材料/混凝土型号C25）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9500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7、新增6.5米T杆，配套挑臂长度（11米-14米），基础尺寸2000mm*2000mm*2500mm（含地笼材料/混凝土型号C25）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11500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8、新增手井（尺寸600*400*300，含井盖、井框及开挖、安装）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420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道路绿化开挖</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1、新增绿化开挖（包含绿化、道路等开挖及恢复）</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r>
      <w:tr>
        <w:trPr>
          <w:trHeight w:val="216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1、输入：网络式交通数据接入通讯板，通过通信接口连接各种车辆检测器，如线圈车辆检测器、视频检测器、微波检测器等。</w:t>
              <w:br/>
              <w:t xml:space="preserve">2、输出：灯控制输出：48 路，单路最大输出功率≥300W，最大输出总功率≥6kW。</w:t>
              <w:br/>
              <w:t xml:space="preserve">3、主控板通信口：上位机通信接口：RS232C串口、以太网口；设备通信接口：RS232C。</w:t>
              <w:br/>
              <w:t xml:space="preserve">4、 支持高峰、平峰等多时段控制。最大日计划调度数128个，日最大时段数48个，最大配时方案数64个，最大相位数64个。</w:t>
              <w:br/>
              <w:t xml:space="preserve">5、 支持最大灯组数48个（可扩展至64个），最大可连接32路线圈检测器，可接4路以上行人过街按钮</w:t>
            </w:r>
            <w:r>
              <w:rPr>
                <w:rFonts w:ascii="SimSun" w:hAnsi="SimSun" w:eastAsia="SimSun" w:cs="SimSun"/>
                <w:color w:val="000000"/>
                <w:sz w:val="18"/>
              </w:rPr>
              <w:t xml:space="preserve">，可以连接地磁、视频、线圈等多种检测器，可设定为战略、感应检测器。信号机采集的交通数据包括流量、占有率等数据，并根据各种交通控制需求，预处理成相应的交通数据格式。</w:t>
              <w:br/>
              <w:t xml:space="preserve">6、故障检测：信号灯驱动回路故障检测；绿冲突故障检测；红灯不亮故障检测。</w:t>
              <w:br/>
              <w:t xml:space="preserve">7、故障保护：具备独立黄闪控制器，支持在电源切断、电器部件损坏等情况下应急黄闪；发生绿冲突、红灯不亮、红绿灯同亮故障，信号机进入黄闪保安状态。</w:t>
              <w:br/>
              <w:t xml:space="preserve">8、电源：交流220±44V、50Hz±2Hz。</w:t>
              <w:br/>
              <w:t xml:space="preserve">9、 绝缘：绝缘电阻：≥10MΩ，耐压：≥1500V。</w:t>
              <w:br/>
              <w:t xml:space="preserve">10、断电后参数保留时间</w:t>
            </w:r>
            <w:r>
              <w:rPr>
                <w:rFonts w:ascii="SimSun" w:hAnsi="SimSun" w:eastAsia="SimSun" w:cs="SimSun"/>
                <w:color w:val="000000"/>
                <w:sz w:val="18"/>
              </w:rPr>
              <w:t xml:space="preserve">：断电后参数能够保留。</w:t>
              <w:br/>
              <w:t xml:space="preserve">11、使用环境：室外环境，工作温度：-40℃～＋70℃；A级耐温；相对湿度：45％～95％（无冷凝）。</w:t>
              <w:br/>
              <w:t xml:space="preserve">12、网络通讯异常处置：网络风暴防范处理。</w:t>
              <w:br/>
              <w:t xml:space="preserve">13、校时装置：支持校时，实现信号机自动校时。</w:t>
              <w:br/>
              <w:t xml:space="preserve">14、手动控制面板：具有黄闪、全红、步进控制功能，含防护锁具，具备中心授权功能。</w:t>
              <w:br/>
              <w:t xml:space="preserve">15、通讯检测板：具有通过内嵌的模块化通信式数据接口模块。</w:t>
              <w:br/>
              <w:t xml:space="preserve">16、应急电源接入：符合 GB25280-2016《道路交通信号控制机》，提供应急电源接口，在出现断电情况下，可接入应急电源。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29000</w:t>
            </w:r>
            <w:r/>
          </w:p>
        </w:tc>
      </w:tr>
      <w:tr>
        <w:trPr>
          <w:trHeight w:val="57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信号灯</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1、满屏灯，含灯盘，按照路口样式，防护等级IP55，具备在线升级功能、故障检测功能、当信号灯收不到脉冲触发信号，则倒计时不显示；发光单元采用无色有配光设计诱光面</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2240</w:t>
            </w:r>
            <w:r/>
          </w:p>
        </w:tc>
      </w:tr>
      <w:tr>
        <w:trPr>
          <w:trHeight w:val="57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2、箭头灯，含灯盘，按照路口样式，防护等级IP55，具备在线升级功能、故障检测功能、当信号灯收不到脉冲触发信号，则倒计时不显示；发光单元采用无色有配光设计诱光面</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3、非机动车信号灯，绝缘电阻：≥500MΩ，介电强度：≥1440VAC，可视距离：≥300M</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2300</w:t>
            </w:r>
            <w:r/>
          </w:p>
        </w:tc>
      </w:tr>
      <w:tr>
        <w:trPr>
          <w:trHeight w:val="3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4、人行信号灯，含灯盘，防护等级IP55，发光单元采用无色有配光设计诱光面</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1300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配套线路</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1、新增红绿灯信号线（规格：RVV4*0.5，含穿管及安装）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2、新增信号机灯控线1（规格：RVV4*1.0，含穿管及安装）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3、新增信号机灯控线2（规格：RVV4*1.5，含穿管及安装）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4、新增信号机灯控线3（规格：RVV6*1.0，含穿管及安装）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r>
      <w:tr>
        <w:trPr>
          <w:trHeight w:val="150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事故预防</w:t>
              <w:br/>
              <w:t xml:space="preserve">设备服务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路口智能红外语音警示柱</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1、发光单元夜间静态可视距离≥100米；</w:t>
              <w:br/>
              <w:t xml:space="preserve">2、交通红外检测器最高检测距离20m，具有抗强光干扰功能。</w:t>
              <w:br/>
              <w:t xml:space="preserve">3、开关电源用工程级防雨开关电源，具有短路/过负载/过电压/过热保护功能，防护等级：不低于IP55。</w:t>
              <w:br/>
              <w:t xml:space="preserve">4、自动重合闸用电保护器具备自动复位、过压、欠压、过流、漏电、防雷、延时保护功能和电压显示、设置等功能。</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2940</w:t>
            </w:r>
            <w:r/>
          </w:p>
        </w:tc>
      </w:tr>
      <w:tr>
        <w:trPr>
          <w:trHeight w:val="42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太阳能道钉</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1、发光LED灯珠：</w:t>
              <w:br/>
              <w:t xml:space="preserve">2、可无线通讯进行同步控制</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147</w:t>
            </w:r>
            <w:r/>
          </w:p>
        </w:tc>
      </w:tr>
      <w:tr>
        <w:trPr>
          <w:trHeight w:val="40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太阳能道钉无线控制器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1、发射机调节闪光模式开关，更改无线道钉闪烁方式</w:t>
              <w:br/>
              <w:t xml:space="preserve">2、可利用利用光波配码修复故障</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3800</w:t>
            </w:r>
            <w:r/>
          </w:p>
        </w:tc>
      </w:tr>
      <w:tr>
        <w:trPr>
          <w:trHeight w:val="12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智能语音播报器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1、应支持户外防水有源语音播放器，防雨、防晒；</w:t>
              <w:br/>
              <w:t xml:space="preserve">2、应支持内置功放、音箱一体化；</w:t>
              <w:br/>
              <w:t xml:space="preserve">3、功率：不大于40w；</w:t>
              <w:br/>
              <w:t xml:space="preserve">4、输入阻抗：不大于10千欧；</w:t>
              <w:br/>
              <w:t xml:space="preserve">5、灵敏度：89+/-3DB；</w:t>
              <w:br/>
              <w:t xml:space="preserve">6、频率响应：150HZ-14KHZ。</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3800</w:t>
            </w:r>
            <w:r/>
          </w:p>
        </w:tc>
      </w:tr>
      <w:tr>
        <w:trPr>
          <w:trHeight w:val="388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球型监控</w:t>
              <w:br/>
              <w:t xml:space="preserve">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球型监控设备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★1、传感器：≥400万像素CMOS传感器；靶面尺寸：≥1/1.8"</w:t>
              <w:br/>
              <w:t xml:space="preserve">2、最大焦距：≥192 mm；图像分辨率：≥2560×1440@25fps</w:t>
              <w:br/>
              <w:t xml:space="preserve">★3、最低照度：彩色≤0.00021x，黑白≤0.00011x</w:t>
              <w:br/>
              <w:t xml:space="preserve">4、光圈：≥F1.6；外形尺寸；≥8寸；</w:t>
              <w:br/>
              <w:t xml:space="preserve">5、补光：支持双光补光，白光补光距离；≥50米，红外补光距离：≥250米；变倍：≥32倍光学变倍；</w:t>
              <w:br/>
              <w:t xml:space="preserve">★6、支持GB35114 A级安全加密；</w:t>
              <w:br/>
              <w:t xml:space="preserve">7、支持全结构化功能，支持机动车、非机动车、人员等多目标抓拍和属性分析；</w:t>
              <w:br/>
              <w:t xml:space="preserve">★8、设备支持水平旋转范围为0~360°连续</w:t>
            </w:r>
            <w:r>
              <w:rPr>
                <w:rFonts w:ascii="SimSun" w:hAnsi="SimSun" w:eastAsia="SimSun" w:cs="SimSun"/>
                <w:color w:val="000000"/>
                <w:sz w:val="18"/>
              </w:rPr>
              <w:t xml:space="preserve">旋转，垂直旋转范围为-20°~90°;</w:t>
              <w:br/>
              <w:t xml:space="preserve">★9、视频压缩标准：支持H.265；H.264；MJPEG；安全防护：≥IP67</w:t>
              <w:br/>
              <w:t xml:space="preserve">10、开启混合目标检测模式后，可同时对行人、非机动车、机动车进行检测、跟踪及抓拍，可支持人关联显示；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3350</w:t>
            </w:r>
            <w:r/>
          </w:p>
        </w:tc>
      </w:tr>
      <w:tr>
        <w:trPr>
          <w:trHeight w:val="29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枪型监控</w:t>
              <w:br/>
              <w:t xml:space="preserve">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枪型监控设备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★1、传感器：≥400万像素CMOS传感器；靶面尺寸：≥1/1.8”;</w:t>
              <w:br/>
              <w:t xml:space="preserve">2、焦距：≥2.8mm,支持自动变焦及一键聚焦功能，变焦过程图像不会完全虚焦；</w:t>
              <w:br/>
              <w:t xml:space="preserve">3、图像分辨率：≥2560×1440;</w:t>
              <w:br/>
              <w:t xml:space="preserve">★4、最低照度：彩色：≤0.00021x,黑白：≤0.00011x；光圈：≥F1.2;宽动态：≥120dB;</w:t>
              <w:br/>
              <w:t xml:space="preserve">5、补光：混合补光，红外补光距离≥50m;白光补光距离≥30 m;</w:t>
              <w:br/>
              <w:t xml:space="preserve">★6、防护等级：≥IP67；支持GB35114安全加密</w:t>
              <w:br/>
              <w:t xml:space="preserve">★7、设备支持双路音频采集，并可选择监听其中一路或者两路；</w:t>
              <w:br/>
              <w:t xml:space="preserve">★8、支持检测安全帽、头盔</w:t>
            </w:r>
            <w:r>
              <w:rPr>
                <w:rFonts w:ascii="SimSun" w:hAnsi="SimSun" w:eastAsia="SimSun" w:cs="SimSun"/>
                <w:color w:val="000000"/>
                <w:sz w:val="18"/>
              </w:rPr>
              <w:t xml:space="preserve">、鸭舌帽、连衣帽、大檐帽、头巾，支持分析是否打伞，伞颜色、伞颜色深浅；</w:t>
              <w:br/>
              <w:t xml:space="preserve">★9、支持识别主驾、副驾是否打电话、是否系安全带；支持抓拍主驾、副驾人员人脸图片；支持识别输出遮阳板是否打开。</w:t>
              <w:br/>
              <w:t xml:space="preserve">★10、支持识别的车牌种类包含GA 36规定的号牌字符、军队和武警号牌字符以及其他号牌字符，包含武警汽车号牌、军队汽车号牌、使馆汽车号牌、新能源汽车号牌、应急车辆专用号牌；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700</w:t>
            </w:r>
            <w:r/>
          </w:p>
        </w:tc>
      </w:tr>
      <w:tr>
        <w:trPr>
          <w:trHeight w:val="374"/>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隔离护栏</w:t>
              <w:br/>
              <w:t xml:space="preserve">服务</w:t>
              <w:br/>
              <w:t xml:space="preserve">（工艺要求：热浸锌-冲压成型-除油-去灰-清洗-表调-镀膜-清洗-烘干-高温固化-静电粉末喷涂--高温固化-涂层压力检验）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新型交通护栏</w:t>
              <w:br/>
              <w:t xml:space="preserve">（低片H：450）含配套铸铁底座及安装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1、横杆：上横杆：90*80*1.5mm，下横杆：50*50*1.5mm；</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240</w:t>
            </w:r>
            <w:r/>
          </w:p>
        </w:tc>
      </w:tr>
      <w:tr>
        <w:trPr>
          <w:trHeight w:val="395"/>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2、竖杆：规格20*40*1.0mm、30*40*1.2mm；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95"/>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3、立柱：规格：130*90*2.0mm；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4、立柱盖板：规格：：150*110*8mm；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5、高度：总高800mm，栏片高度450mm；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0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新型交通护栏</w:t>
              <w:br/>
              <w:t xml:space="preserve">（中片H：650）含配套铸铁底座及安装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1、横杆：上横杆：90*80*1.5mm，下横杆：50*50*1.5mm；</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250</w:t>
            </w:r>
            <w:r/>
          </w:p>
        </w:tc>
      </w:tr>
      <w:tr>
        <w:trPr>
          <w:trHeight w:val="40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2、竖杆：规格20*40*1.0mm、30*40*1.2mm；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88"/>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3、立柱：规格：130*90*2.0mm；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78"/>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4、立柱盖板：规格：：150*110*8mm；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5、高度：总高1000mm，栏片高度650mm；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新型交通护栏</w:t>
              <w:br/>
              <w:t xml:space="preserve">（高片H：850）含配套铸铁底座及安装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1、横杆：上横杆：90*80*1.5mm，下横杆：50*50*1.5mm；</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260</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2、竖杆：规格20*40*1.0mm、30*40*1.2mm；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85"/>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3、立柱：规格：130*90*2.0mm；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77"/>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4、立柱盖板：规格：：150*110*8mm；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5、高度：总高1200mm，栏片高度850mm；</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安装护栏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1、按照甲方要求，在指定路段安装交通护栏及配套立柱；</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r>
      <w:tr>
        <w:trPr>
          <w:trHeight w:val="2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拆除护栏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1、按照甲方要求，在指定路段安装交通护栏拆除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r>
      <w:tr>
        <w:trPr>
          <w:trHeight w:val="57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数据传输</w:t>
              <w:br/>
              <w:t xml:space="preserve">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国产数据传输</w:t>
              <w:br/>
              <w:t xml:space="preserve">服务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4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1、速度及带宽要求：100M专网光纤直连，按年计算</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840</w:t>
            </w:r>
            <w:r/>
          </w:p>
        </w:tc>
      </w:tr>
    </w:tbl>
    <w:p>
      <w:pPr>
        <w:ind w:left="0" w:right="0" w:firstLine="0"/>
        <w:jc w:val="both"/>
        <w:spacing w:before="0" w:after="0" w:line="43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单位需提供符合采购要求的前提下由投标单位出具的产品售后质保期不少于三年的承诺函，承诺函加盖投标单位的公章，否则为无效响应文件（“★”为实质性条款，不可偏离，如偏离响应文件无效。）</w:t>
      </w:r>
      <w:r/>
    </w:p>
    <w:p>
      <w:pPr>
        <w:numPr>
          <w:ilvl w:val="0"/>
          <w:numId w:val="3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网络建设要求</w:t>
      </w:r>
      <w:r/>
    </w:p>
    <w:p>
      <w:pPr>
        <w:numPr>
          <w:ilvl w:val="0"/>
          <w:numId w:val="3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视频传输网络应参照苏州市公安局吴江分局视频专网监控的网络建设要求，采用专线光纤的形式进行组网，前端设备的传输带宽最高可支持1000Mbps。</w:t>
      </w:r>
      <w:r/>
    </w:p>
    <w:p>
      <w:pPr>
        <w:numPr>
          <w:ilvl w:val="0"/>
          <w:numId w:val="3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网络建设应充分考虑云存储的高带宽需求，采用高速网络，同时应实现网络的可靠性，实现交换设备冗余连接。</w:t>
      </w:r>
      <w:r/>
    </w:p>
    <w:p>
      <w:pPr>
        <w:numPr>
          <w:ilvl w:val="0"/>
          <w:numId w:val="3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设备直接接入公安视频专网，IP地址规划完全参照公安视频专网组网方案规划。</w:t>
      </w:r>
      <w:r/>
    </w:p>
    <w:p>
      <w:pPr>
        <w:numPr>
          <w:ilvl w:val="0"/>
          <w:numId w:val="3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数据接入要求</w:t>
      </w:r>
      <w:r/>
    </w:p>
    <w:p>
      <w:pPr>
        <w:numPr>
          <w:ilvl w:val="0"/>
          <w:numId w:val="40"/>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本项目涉及到的所有视频监控及抓拍图像设备均须符合GB/T 28181-2022标准，满足接入1400视图库标准及支持GB 35114-2017安全加密。</w:t>
      </w:r>
      <w:r/>
    </w:p>
    <w:p>
      <w:pPr>
        <w:numPr>
          <w:ilvl w:val="0"/>
          <w:numId w:val="40"/>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本项目所涉及需接入的设备须直接接入苏州市公安局吴江分局视频专网，IP地址规划需要参照苏州市公安局吴江分局视频专网组网方案规划。在原先规划的IP地址范围内继续延伸。</w:t>
      </w:r>
      <w:r/>
    </w:p>
    <w:p>
      <w:pPr>
        <w:numPr>
          <w:ilvl w:val="0"/>
          <w:numId w:val="3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对接平台：</w:t>
      </w:r>
      <w:r/>
    </w:p>
    <w:p>
      <w:pPr>
        <w:numPr>
          <w:ilvl w:val="0"/>
          <w:numId w:val="41"/>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项目采用设备可以直接接入苏州市公安局吴江分局视频专网监控平台及苏州市公安局吴江分局其他相对应平台，可以直接调取本次项目监控平台上的所有点位的视频、录像、抓拍比对图片及抓拍记录。</w:t>
      </w:r>
      <w:r/>
    </w:p>
    <w:p>
      <w:pPr>
        <w:numPr>
          <w:ilvl w:val="0"/>
          <w:numId w:val="3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设计依据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《公共安全视频监控联网系统信息传输、交换、控制技术要求》（GB/T28181-2022）</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《公安视频图像信息应用系统第1部分：通用技术要求》 （GA∕T1400.1-2017）</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《公安视频图像信息应用系统第2部分：应用平台技术要求》（GA∕T1400.2-2017）</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《公安视频图像信息应用系统第3部分：数据库技术要求》（GA∕T1400.3-2017）</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《公安视频图像信息应用系统第4部分：接口协议要求》 （GA∕T1400.4-2017）</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《公安视频图像分析系统第1部分：通用技术要求》（GA∕T1399.1-2017）</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《公安视频图像分析系统第2部分：视频图像内容分析及措述技术要求》（GA∕T1399.2-2017）</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《城市监控报警联网系统技术标准第2部分：安全技术要求》(GA/T669.2-2008)</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《公安物联网系统信息安全等级保护要求》（GB/T35317-2017）</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《IT服务管理国际标准体系》（ISO/IEC 20000）</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《信息安全技术网络和终端设备隔离部件安全技术要求》（GB/T20279-2024）</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《信息技术 安全技术 信息安全管理体系实施指南》（GB/T31496-2023）</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《信息系统安全等级保护基本要求》（GB/T22239-2019）</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《信息系统安全等级保护定级指南》（GB/T22240-2020）</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《信息系统安全管理要求》（GB/T20269-2006）</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注：凡涉及到检测标准的均参照国家最新标准。</w:t>
      </w:r>
      <w:r/>
    </w:p>
    <w:p>
      <w:pPr>
        <w:numPr>
          <w:ilvl w:val="0"/>
          <w:numId w:val="3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安装及调试要求</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供方应遵守现场的一切规章制度，文明施工；</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供方负责保管、看护进场的设备及附配件直至完成安装调试后交付需方；</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供方负责设备、安装设备（工具）等提供适当的保护、包装或覆盖等处理，直至验收合格，以免受损；</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供方施工工人、施工机械或在运输装卸途中对其他工程及邻近设备、管线等造成损坏，应由供方负责修复及承担一切费用；</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无论调试期间或保修过程中，供方负责及时清理垃圾；</w:t>
      </w:r>
      <w:r/>
    </w:p>
    <w:p>
      <w:pPr>
        <w:numPr>
          <w:ilvl w:val="0"/>
          <w:numId w:val="4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做好与安装、土建、装饰等施工队伍的配合工作（如涉及）。</w:t>
      </w:r>
      <w:r/>
    </w:p>
    <w:p>
      <w:pPr>
        <w:numPr>
          <w:ilvl w:val="0"/>
          <w:numId w:val="3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服务要求</w:t>
      </w:r>
      <w:r/>
    </w:p>
    <w:p>
      <w:pPr>
        <w:numPr>
          <w:ilvl w:val="0"/>
          <w:numId w:val="4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合同履行期限：三年（自所有标的物均正常通过验收并开始服务之日起）。</w:t>
      </w:r>
      <w:r/>
    </w:p>
    <w:p>
      <w:pPr>
        <w:numPr>
          <w:ilvl w:val="0"/>
          <w:numId w:val="4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运维缺陷保修：如果设备交付使用后，缺陷多次反复出现，供方必须提出分析报告和解决方案，直到最后纠正缺陷。供方提供的质保从纠正之日起重新计算质保期。</w:t>
      </w:r>
      <w:r/>
    </w:p>
    <w:p>
      <w:pPr>
        <w:numPr>
          <w:ilvl w:val="0"/>
          <w:numId w:val="4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如果是超出供方的责任范围的疏忽、误操作等情况而导致的更换修正，应由供方进行修理，其额外费用由双方协商承担。</w:t>
      </w:r>
      <w:r/>
    </w:p>
    <w:p>
      <w:pPr>
        <w:numPr>
          <w:ilvl w:val="0"/>
          <w:numId w:val="4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7×24小时热线电话服务，并确定专人协调处理。当承建单位发现故障或当甲方提出故障修复要求后，中标人响应时间不得超过2小时，由于设备及其承载系统发生故障的，应在3个工作日内完成修复；由于传输光缆被切断导致的故障，修复时间不超过7天；涉及需要更换杆体及基础的项目，因涉及混凝土基础浇筑和养护可相应放宽到14天内完成恢复。如遇到连续阴雨天气的，考虑到人员、设备等安全，室外故障设备的维修可适当延时。在遇到强雷雨天气和大雪等不可抗力情况带来的大面积障碍，修复时间可按需要顺延相应天数。如因市政供电问题导致的故障，市政</w:t>
      </w:r>
      <w:r>
        <w:rPr>
          <w:rFonts w:ascii="SimSun" w:hAnsi="SimSun" w:eastAsia="SimSun" w:cs="SimSun"/>
          <w:color w:val="000000"/>
          <w:sz w:val="21"/>
        </w:rPr>
        <w:t xml:space="preserve">能修复的，修复时间从市政供电恢复后开始计算，如市政不能修复的需更换接电位置，修复时间不超过7天。</w:t>
      </w:r>
      <w:r/>
    </w:p>
    <w:p>
      <w:pPr>
        <w:numPr>
          <w:ilvl w:val="0"/>
          <w:numId w:val="4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投标单位应充分保证售后服务点主要硬件维修所需的备件供应。更换的备件的型号和规格应与被更换的完全一样或更优。</w:t>
      </w:r>
      <w:r/>
    </w:p>
    <w:p>
      <w:pPr>
        <w:numPr>
          <w:ilvl w:val="0"/>
          <w:numId w:val="4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投标单位应严格遵守服务合约的目标在最短时间内恢复系统正常运行。</w:t>
      </w:r>
      <w:r/>
    </w:p>
    <w:p>
      <w:pPr>
        <w:numPr>
          <w:ilvl w:val="0"/>
          <w:numId w:val="4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项目服务过程中设备出现故障，中标单位必须无条件配合采购单位，三天之内提供备品备件并进行更换。全部设备质保期内出现备品备件更换情况，采购方将不再另行支付任何费用。</w:t>
      </w:r>
      <w:r/>
    </w:p>
    <w:p>
      <w:pPr>
        <w:numPr>
          <w:ilvl w:val="0"/>
          <w:numId w:val="4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本项目至少配备项目负责人一名，技术及现场实施负责人一名，运维负责人一名，其他项目组成员若干。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八、实施本国产品标准及相关政策</w:t>
      </w:r>
      <w:r/>
    </w:p>
    <w:p>
      <w:pPr>
        <w:numPr>
          <w:ilvl w:val="0"/>
          <w:numId w:val="4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本项目为服务类项目，如提供服务中需提供货物，根据《国务院办公厅关于在政府采购中实施本国产品标准及相关政策的通知》（国办发〔2025〕34号）的规定，本项目对采购本国产品给予政策支持。</w:t>
      </w:r>
      <w:r/>
    </w:p>
    <w:p>
      <w:pPr>
        <w:numPr>
          <w:ilvl w:val="0"/>
          <w:numId w:val="4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4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本项目政府采购活动中既有本国产品又有非本国产品参与竞争的，依法对本国产品给予价格评审优惠，对本国产品的报价给予20%的价格扣除，用扣除后的价格参与评审。</w:t>
      </w:r>
      <w:r/>
    </w:p>
    <w:p>
      <w:pPr>
        <w:numPr>
          <w:ilvl w:val="0"/>
          <w:numId w:val="4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4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供应商需按照招标文件的要求提供《关于符合本国产品标准的声明函》（以下简称《声明函》）或财政部会同有关部门规定的有关证明文件的，如不提供或提供不符合要求的将不享受本国产品价格评审优惠。</w:t>
      </w:r>
      <w:r/>
    </w:p>
    <w:p>
      <w:pPr>
        <w:numPr>
          <w:ilvl w:val="0"/>
          <w:numId w:val="4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44"/>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6"/>
        </w:rPr>
      </w:r>
      <w:r/>
    </w:p>
    <w:p>
      <w:pPr>
        <w:ind w:left="5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九、综合说明</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投标人所提供的设备应能够至少达到以上技术指标要求。</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投标人必须承诺招标文件中提出的全部服务规格与要求，如果以其中某些条款不响应时，应在文件中逐条列出，未列出的视同响应。</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知识产权：中标单位应保证采购单位免除且中标单位承担由于采购单位在使用其投标的产品或其任何一部分时而引起第三方提出的侵犯专利权、商标权或工业设计权的起诉、行动、行政程序索赔、请求等以及采购单位为此而产生的损失和损害、费用和支出（包括律师费）。</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报价的产品，各项技术标准应当符合国家（强制性）标准及各项规范要求；非标准产品按招标约定的技术要求和规范。所有报价产品应是全新的、未使用过的、原包装未拆封的商品，完全符合采购规定的质量、规格和性能的要求。</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应对所投项目的全部内容进行报价。本项目费用包括全部服务的软硬件设备费、光纤、材料费、安装施工费、管理、运行服务费、售后、人工费、保险、税金、政策性文件规定及合同包含的所有风险、责任等各项一切费用。只投其中部分内容者，其投标文件将被拒绝。</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履约保函：合同金额的5%，签订合同前，乙方须按成交金额的5%向甲方交纳履约保函。履约保函待验收合格后5日内由保函收取部门退回。</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价款结算：首次付款时间为竣工验收后，支付金额为合同价的50%，第二次付款时间为竣工验收后满12个月，支付金额为合同价的20%，第三次付款时间为竣工验收后满24个月，支付金额为合同价的20%，第四次付款时间为竣工验收后满36个月，支付金额为按审定金额一次性支付剩余尾款。第二次起付款前按照季度考核结果按比例支付款项。</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须具备独立完成本项目的能力，具有较强服务能力。因此各投标单位可在投标前自行进行调研，了解项目情况及详细需求，但投标单位不得因此使采购人承担有关的责任和蒙受损失。投标单位应承担前期调研的责任和风险。投标单位成交后，不得以不了解项目情况及详细需求为理由而向采购人提出任何索赔的要求，对此采购人不再承担任何责任。</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保密要求：中标人未经采购人审批同意，不得将采购人提供的所有内部资料、技术文档、数据及信息用于与本项目无关的其他场合。因中标人原因发生泄密事件，中标人需承担相关法律责任。</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中标单位工作人员在岗履行职责期间（包括上下班途中），发生自身的人身伤害、伤亡，均由中标单位负责处理并承担经济和道义上的责任，招标单位不承担任何责任。</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因中标单位原因，造成采购单位、中标单位或第三方发生人身安全事故的，均由中标单位负责处理并承担经济和道义上的责任，招标单位不承担任何责任。</w:t>
      </w:r>
      <w:r/>
    </w:p>
    <w:p>
      <w:pPr>
        <w:numPr>
          <w:ilvl w:val="0"/>
          <w:numId w:val="4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关于节能环保产品政府采购清单的要求</w:t>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rPr>
          <w:highlight w:val="none"/>
        </w:rPr>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九、凡涉及招标文件的补充说明和修改，均以江苏政府采购网、苏州市政府采购网、中国政府采购网发布的通知为准。</w:t>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甲方（采购方）：乙方（供应商）：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根据苏州爱达招投标有限公司采购编号</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号招标文件及乙方的投标文件和中标通知书，甲乙双方就此次</w:t>
      </w:r>
      <w:r>
        <w:rPr>
          <w:rFonts w:ascii="SimSun" w:hAnsi="SimSun" w:eastAsia="SimSun" w:cs="SimSun"/>
          <w:color w:val="000000"/>
          <w:sz w:val="21"/>
          <w:u w:val="single"/>
        </w:rPr>
        <w:t xml:space="preserve">                 </w:t>
      </w:r>
      <w:r>
        <w:rPr>
          <w:rFonts w:ascii="SimSun" w:hAnsi="SimSun" w:eastAsia="SimSun" w:cs="SimSun"/>
          <w:color w:val="000000"/>
          <w:sz w:val="21"/>
        </w:rPr>
        <w:t xml:space="preserve">服务事宜，签订本合同书。</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合同内容：</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项目。</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 主要内容、成果要求、时间进度、深度：详见招标采购文件。</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下列文件为本合同不可分割部分：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    （2）投标书；      （3）招标文件及其他；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（4）乙方在投标过程中所作的其它承诺、声明、书面澄清等；（5）合同附件。</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合同价款及付款步骤及方式： </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合同价格（优惠率）</w:t>
      </w:r>
      <w:r>
        <w:rPr>
          <w:rFonts w:ascii="SimSun" w:hAnsi="SimSun" w:eastAsia="SimSun" w:cs="SimSun"/>
          <w:color w:val="000000"/>
          <w:sz w:val="21"/>
          <w:u w:val="single"/>
        </w:rPr>
        <w:t xml:space="preserve">    %</w:t>
      </w:r>
      <w:r>
        <w:rPr>
          <w:rFonts w:ascii="SimSun" w:hAnsi="SimSun" w:eastAsia="SimSun" w:cs="SimSun"/>
          <w:color w:val="000000"/>
          <w:sz w:val="21"/>
        </w:rPr>
        <w:t xml:space="preserve">合同最终价格不得超过本标段采购概预算。包括全部服务的软硬件设备费、光纤、材料费、安装施工费、管理、运行服务费、售后、人工费、保险、税金、政策性文件规定及合同包含的所有风险、代理服务费、责任等各项一切费用。</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根据现行税法对甲方征收的与本合同有关的一切税费均由甲方承担；根据现行税法对乙方征收的与本合同有关的一切税费均由乙方承担。</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付款步骤及方式：</w:t>
      </w:r>
      <w:r/>
    </w:p>
    <w:p>
      <w:pPr>
        <w:numPr>
          <w:ilvl w:val="0"/>
          <w:numId w:val="4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支付：首次付款时间为竣工验收后，支付金额为合同价的50%，第二次付款时间为竣工验收后满12个月，支付金额为合同价的20%，第三次付款时间为竣工验收后满24个月，支付金额为合同价的20%，第四次付款时间为竣工验收后满36个月，支付金额为按审定金额一次性支付剩余尾款。第二次起付款前按照季度考核结果按比例支付款项。</w:t>
      </w:r>
      <w:r/>
    </w:p>
    <w:p>
      <w:pPr>
        <w:numPr>
          <w:ilvl w:val="0"/>
          <w:numId w:val="4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甲方付款时，乙方需提供正式的发票等甲方要求的付款凭证资料。鉴于甲方向政府财政部门申请资金等因素，具体付款进度视财政拨付情况而定。</w:t>
      </w:r>
      <w:r/>
    </w:p>
    <w:p>
      <w:pPr>
        <w:numPr>
          <w:ilvl w:val="0"/>
          <w:numId w:val="4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付款方式：银行汇票或转账。</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履约保函：合同金额的5%，签订合同前，乙方须按成交金额的5%向甲方交纳履约保函。履约保函待验收合格后5日内由保函收取部门退回。</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项目服务验收及考核</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乙方完成项目服务设备安装调试，由乙方提出验收申请，由甲方组织验收并出具意见，形成《项目服务验收报告》，验收合格后才可进入服务期。</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待整个项目信息服务开始实施后，由甲方对乙方的工作进行考核（详见文件的考核内容），如发现与投标文件承诺有出入时，做出详细记录，由乙方立即无条件更正，同时由乙方承担因此而产生的一切后果。</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时间要求：</w:t>
      </w:r>
      <w:r/>
    </w:p>
    <w:p>
      <w:pPr>
        <w:ind w:left="0" w:right="0" w:firstLine="420"/>
        <w:jc w:val="both"/>
        <w:spacing w:before="0" w:after="0" w:line="439"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三年（自所有标的物均正常通过验收并开始服务之日起）。</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对在本合同签订、履行过程中知悉的对方资料和信息，除该方作出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服务要求</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7×24小时热线电话服务，并确定专人协调处理。当乙方发现故障或当甲方提出故障修复要求后，乙方响应时间不得超过2小时，由于设备及其承载系统发生故障的，应在3个工作日内完成修复；由于传输光缆被切断导致的故障，修复时间不超过7天；涉及需要更换杆体及基础的项目，因涉及混凝土基础浇筑和养护可相应放宽到14天内完成恢复。如遇到连续阴雨天气的，考虑到人员、设备等安全，室外故障设备的维修可适当延时。在遇到强雷雨天气和大雪等恶劣天气情况带来的大面积障碍，修复时间可按需要顺延相应天数。如因市政供电问题导致的故障，市政能修复</w:t>
      </w:r>
      <w:r>
        <w:rPr>
          <w:rFonts w:ascii="SimSun" w:hAnsi="SimSun" w:eastAsia="SimSun" w:cs="SimSun"/>
          <w:color w:val="000000"/>
          <w:sz w:val="21"/>
        </w:rPr>
        <w:t xml:space="preserve">的，修复时间从市政供电恢复后开始计算，如市政不能修复的需更换接电位置，修复时间不超过7天。</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项目服务过程中设备出现故障，乙方必须无条件配合采购单位，三天之内提供备品备件并进行更换。全部设备质保</w:t>
      </w:r>
      <w:r>
        <w:rPr>
          <w:rFonts w:ascii="SimSun" w:hAnsi="SimSun" w:eastAsia="SimSun" w:cs="SimSun"/>
          <w:color w:val="000000"/>
          <w:sz w:val="21"/>
          <w:u w:val="single"/>
        </w:rPr>
        <w:t xml:space="preserve"> 叁 </w:t>
      </w:r>
      <w:r>
        <w:rPr>
          <w:rFonts w:ascii="SimSun" w:hAnsi="SimSun" w:eastAsia="SimSun" w:cs="SimSun"/>
          <w:color w:val="000000"/>
          <w:sz w:val="21"/>
        </w:rPr>
        <w:t xml:space="preserve">年，质保期内出现备品备件更换情况，甲方将不再另行支付任何费用。</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运维缺陷保修：如果设备交付使用后，缺陷多次反复出现，供方必须提出分析报告和解决方案，直到最后纠正缺陷、供方提供的质保从纠正之日起重新计算质保期。</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违约责任：</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甲方违约责任及违约金支付：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1）在合同生效后，甲方不可无故要求终止服务的。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2）甲方按照合同约定按期支付合同款项。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3）甲方违反合同规定，拒绝接受乙方提供服务，应当承担乙方由此造成的损失。                                         </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乙方违约责任及违约金支付：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1）乙方不能提供服务的，或服务不合格从而影响甲方按期正常使用的，应向甲方偿付合同总价款15%的违约金，违约金不足以补偿损失的甲方有权要求乙方补足。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2）乙方逾期提供服务的，应与甲方和政府采购管理部门协商，甲方仍有需求的，乙方应立即提供服务按照逾期服务的每天万分之四支付逾期违约金，同时承担甲方因此遭致的损失费用。</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不可抗力</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因不可抗力不能履行合同的，根据不可抗力的影响，部分或者全部免除责任。但合同一方延迟履行后发生不可抗力的，不能免除责任。</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合同一方因不可抗力不能履行合同的，应当及时通知对方，以减轻可能给对方造成的损失，并应当在合理期限内提供证明。</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合同修改</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甲方和乙方都不得擅自变更本合同，但合同继续履行将损害国家和社会公共利益的除外。</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转让和分包</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政府采购合同的部分和全部都不得转让。</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合同的解除</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有下列情形之一，合同一方可以解除合同：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1）因不可抗力致使不能实现合同目的，未受不可抗力影响的一方有权解除合同；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2）因合同一方违约导致合同不能履行，另一方有权解除合同。</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争议解决办法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因本合同或与本合同有关的一切事项发生争议，由双方友好协商解决。协商不成的，任何一方均可选择以下方式解决：向甲方所在地的人民法院起诉。</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合同生效及其他</w:t>
      </w:r>
      <w:r/>
    </w:p>
    <w:p>
      <w:pPr>
        <w:numPr>
          <w:ilvl w:val="1"/>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本合同经双方法定代表人或其委托代理人签字并加盖公章（或合同章）后生效，多页合同需采购代理机构加盖骑缝章，合同在签订两个工作日内由甲方上传苏采云系统备案。</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未尽事宜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未尽事宜应参照《中华人民共和国民法典》、《中华人民共和国政府采购法》等相关法律法规之规定解释。</w:t>
      </w:r>
      <w:r/>
    </w:p>
    <w:p>
      <w:pPr>
        <w:numPr>
          <w:ilvl w:val="0"/>
          <w:numId w:val="4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份，甲、乙方各执</w:t>
      </w:r>
      <w:r>
        <w:rPr>
          <w:rFonts w:ascii="SimSun" w:hAnsi="SimSun" w:eastAsia="SimSun" w:cs="SimSun"/>
          <w:color w:val="000000"/>
          <w:sz w:val="21"/>
          <w:u w:val="single"/>
        </w:rPr>
        <w:t xml:space="preserve">    </w:t>
      </w:r>
      <w:r>
        <w:rPr>
          <w:rFonts w:ascii="SimSun" w:hAnsi="SimSun" w:eastAsia="SimSun" w:cs="SimSun"/>
          <w:color w:val="000000"/>
          <w:sz w:val="21"/>
        </w:rPr>
        <w:t xml:space="preserve">份，政府采购监督管理部门备案，采购代理机构</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57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附件二：《服务考核办法》</w:t>
      </w:r>
      <w:r/>
    </w:p>
    <w:p>
      <w:pPr>
        <w:ind w:left="57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附件三：《履约验收方案》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60"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附件二：考核办法</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3"/>
        <w:gridCol w:w="2336"/>
        <w:gridCol w:w="883"/>
        <w:gridCol w:w="3528"/>
      </w:tblGrid>
      <w:tr>
        <w:trPr>
          <w:trHeight w:val="28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评分说明</w:t>
            </w:r>
            <w:r/>
          </w:p>
        </w:tc>
      </w:tr>
      <w:tr>
        <w:trPr>
          <w:trHeight w:val="285"/>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扣分项</w:t>
            </w:r>
            <w:r/>
          </w:p>
        </w:tc>
      </w:tr>
      <w:tr>
        <w:trPr>
          <w:trHeight w:val="784"/>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95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基础管理（35分）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满意度打分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由甲方根据日常使用情况的满意度给予主观打分。</w:t>
            </w:r>
            <w:r/>
          </w:p>
        </w:tc>
      </w:tr>
      <w:tr>
        <w:trPr>
          <w:trHeight w:val="30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日常维护巡检报告，清洗、保养记录及遮挡清理。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每天提供日常维护报告、每月提交一份故障维修记录给甲方，少一份扣0.5分，扣完为止。</w:t>
            </w:r>
            <w:r/>
          </w:p>
        </w:tc>
      </w:tr>
      <w:tr>
        <w:trPr>
          <w:trHeight w:val="57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车辆及备件情况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车辆以及备件不得低于维护要求，由甲方根据日常工作情况以及车辆使用情况的给予主观打分</w:t>
            </w:r>
            <w:r/>
          </w:p>
        </w:tc>
      </w:tr>
      <w:tr>
        <w:trPr>
          <w:trHeight w:val="585"/>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24小时保障系统及平台对接维护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提供24小时应急保障电话，保证及时响应，由甲方根据保障电话的接通情况的给予主观打分。</w:t>
            </w:r>
            <w:r/>
          </w:p>
        </w:tc>
      </w:tr>
      <w:tr>
        <w:trPr>
          <w:trHeight w:val="88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9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质量管理（65分）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系统设备完好率（在线率）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日常系统设备完好率应达到98%，每低1%一次扣5分（停电原因、道路施工、点位迁移、不可抗力等因素除外）。</w:t>
            </w:r>
            <w:r/>
          </w:p>
        </w:tc>
      </w:tr>
      <w:tr>
        <w:trPr>
          <w:trHeight w:val="885"/>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故障响应速度及修复时间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不按规定时间及时修复的，每发生一次扣1分，扣完为止，特殊情况需向甲方报备。 </w:t>
            </w:r>
            <w:r/>
          </w:p>
        </w:tc>
      </w:tr>
      <w:tr>
        <w:trPr>
          <w:trHeight w:val="1155"/>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对重大事件、活动的现场保障</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重大活动保障及重要监控图像保障，如因维护问题出现的监控图像丢失产生严重后果的，直接扣10分。</w:t>
            </w:r>
            <w:r/>
          </w:p>
        </w:tc>
      </w:tr>
      <w:tr>
        <w:trPr>
          <w:trHeight w:val="466"/>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加分项</w:t>
            </w:r>
            <w:r/>
          </w:p>
        </w:tc>
      </w:tr>
      <w:tr>
        <w:trPr>
          <w:trHeight w:val="414"/>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95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共15分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0投诉、响应迅速</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对监控维护响应时间，处理问题无投诉</w:t>
            </w:r>
            <w:r/>
          </w:p>
        </w:tc>
      </w:tr>
      <w:tr>
        <w:trPr>
          <w:trHeight w:val="162"/>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配合甲方完成维稳处突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参与、配合甲方维稳处突事件处置，能按时、高效圆满完成</w:t>
            </w:r>
            <w:r/>
          </w:p>
        </w:tc>
      </w:tr>
      <w:tr>
        <w:trPr>
          <w:trHeight w:val="8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配合甲方完成大型保障任务</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根据完成情况打分</w:t>
            </w:r>
            <w:r/>
          </w:p>
        </w:tc>
      </w:tr>
      <w:tr>
        <w:trPr>
          <w:trHeight w:val="8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扣分项</w:t>
            </w:r>
            <w:r/>
          </w:p>
        </w:tc>
      </w:tr>
      <w:tr>
        <w:trPr>
          <w:trHeight w:val="8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共10分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摄像机软件升级</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5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甲方提出摄像机软件升级要求，未按要求完成的</w:t>
            </w:r>
            <w:r/>
          </w:p>
        </w:tc>
      </w:tr>
    </w:tbl>
    <w:p>
      <w:pPr>
        <w:numPr>
          <w:ilvl w:val="0"/>
          <w:numId w:val="49"/>
        </w:numP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考评结果≥90分，实际付款金额=应付金额*100%</w:t>
      </w:r>
      <w:r/>
    </w:p>
    <w:p>
      <w:pPr>
        <w:numPr>
          <w:ilvl w:val="0"/>
          <w:numId w:val="49"/>
        </w:numP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80分≤考评结果＜90分，实际付款金额=应付金额*90%</w:t>
      </w:r>
      <w:r/>
    </w:p>
    <w:p>
      <w:pPr>
        <w:numPr>
          <w:ilvl w:val="0"/>
          <w:numId w:val="49"/>
        </w:numP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70分≤考评结果＜80分，实际付款金额=应付金额*80%</w:t>
      </w:r>
      <w:r/>
    </w:p>
    <w:p>
      <w:pPr>
        <w:numPr>
          <w:ilvl w:val="0"/>
          <w:numId w:val="49"/>
        </w:numP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60分≤考评结果＜70分，实际付款金额=应付金额*70%</w:t>
      </w:r>
      <w:r/>
    </w:p>
    <w:p>
      <w:pPr>
        <w:numPr>
          <w:ilvl w:val="0"/>
          <w:numId w:val="49"/>
        </w:numP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考评结果＜60分，采购方有权终止合同</w:t>
      </w:r>
      <w:r/>
    </w:p>
    <w:p>
      <w:pPr>
        <w:numPr>
          <w:ilvl w:val="0"/>
          <w:numId w:val="49"/>
        </w:numP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采购方每季度打分一次，以全年季度考评评价平均分数做考评结果，按比例进行支付。</w:t>
      </w:r>
      <w:r>
        <w:br w:type="page" w:clear="all"/>
      </w:r>
      <w:r>
        <w:rPr>
          <w:sz w:val="26"/>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附件三：履约验收方案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验收方案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一、验收单位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苏州市吴江区盛泽镇人民政府  (具体人员另行安排)</w:t>
      </w:r>
      <w:r/>
    </w:p>
    <w:p>
      <w:pPr>
        <w:ind w:left="57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二、验收时间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设备的安装调试完毕交付使用后（具体时间由采购单位安排）</w:t>
      </w:r>
      <w:r/>
    </w:p>
    <w:p>
      <w:pPr>
        <w:ind w:left="57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三、验收内容、标准及程序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验收工作由采购单位负责组织。采购单位有权决定是否引入项目监理、专家评审,作为验收确认的参考和依据。采购单位负责安排,中标人应予配合验收工作。</w:t>
      </w:r>
      <w:r/>
    </w:p>
    <w:p>
      <w:pPr>
        <w:ind w:left="57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招投标文件中规定的中标方需要充成的工作内容、系统功能及性能建设内容。</w:t>
      </w:r>
      <w:r/>
    </w:p>
    <w:p>
      <w:pPr>
        <w:ind w:left="57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五、验收标准</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1、项目所述的服务，均在苏州市公安局吴江分局中心现有相对应的管理平台中正常运行，且抓拍图片符合相关比对要求，其他设备均已正常入网且运转正常。</w:t>
      </w:r>
      <w:r/>
    </w:p>
    <w:p>
      <w:pPr>
        <w:ind w:left="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2、各模块功能和系统性能稳定。</w:t>
      </w:r>
      <w:r/>
    </w:p>
    <w:p>
      <w:pPr>
        <w:ind w:left="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3、文档和资料完整，售后服务条约清晰，响应及维修速度达到采购方要求。</w:t>
      </w:r>
      <w:r/>
    </w:p>
    <w:p>
      <w:pPr>
        <w:ind w:left="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4、按照招投标文件的内容以及投标单位的承诺进行竣工验收。</w:t>
      </w:r>
      <w:r/>
    </w:p>
    <w:p>
      <w:pPr>
        <w:ind w:left="57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六、竣工验收报告</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验收结果分为：验收合格和验收不合格两种情况。</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1、验收合格情况</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符合本项目建设标准、任务按期保质完成，考核指标达标，视为验收合格。</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2、验收不合格情况 </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1）未按项目考核指标或合同要求达到所预定的考核指标的。 </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2）所提供材料不齐全或不真实的。 </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3、验收结论的处理 </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1）验收合格的，将全部验收材料装订成册并连同相应的电子文档报相关部门备案。 </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2）验收不合格的，以书面形式通知项目实施单位，并按照考核标准做相应的处罚。</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943"/>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评标办法及评分标准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1.评标办法采用综合评分法。即在最大限度地满足招标文件实质性要求前提下，按照招标文件中规定的各项因素进行综合评审，由综合评分得分最多的投标人为预中标人。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3.如出现评标总得分最高的投标人有两个或两个以上的，以实际投标报价较低者优先作为中标候选人，如果实际投标报价也相同的，则由招标单位或者代理机构以抽签方式确定中标候选人。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针对中小型企业的评审：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非专门面向中小企业。如供应商所提供的全部货物的制造商属于小微企业，对其报价给与20%的扣除，用扣除后的价格参与评审。如扣除后的价格为最低价的，则作为评标基准价，中标金额则以实际投标报价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二、综合评分标准</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的评标方法采用综合评估方法，并以评分方法进行评估，总分值为100分，评审因素及各比重如下：总分值为100分，评审因素及各比重如下：价格分值占总分值的比重为30%（权重），技术与方案及其它占70%（权重）。（评分适用分包1~3）</w:t>
      </w:r>
      <w:r/>
    </w:p>
    <w:p>
      <w:pPr>
        <w:numPr>
          <w:ilvl w:val="0"/>
          <w:numId w:val="3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价格分（30分）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1.投标总报价低于或等于财政预算价格的，为有效投标报价。超财政预算的投标报价为无效投标报价。无效投标报价的投标文件不进行评审，也不得标。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价格分采用低价优先法计算，即满足招标文件要求且投标价格最高的优惠率为评标基准价（如投标单位为小型和微型企业的，其价格给予20%的扣除，用扣除后的价格参与评审，如扣除后的价格为最高优惠率的，则作为评标基准价，中标优惠率则以实际投标优惠率为准。其他投标单位的价格分按照下列公式计算（计算结果四舍五入保留两位小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投标优惠率得分=（1-评标基准价/1-投标优惠率）*价格权重*100，小数点后保留两位。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3.报价修正规则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在评审中，对投标报价出现前后不一致的，除招标文件另有规定外，按照下列规定修正：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（1）投标文件中开标一览表内容与投标文件中明细表内容不一致的，以开标一览表为准。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（2）投标文件的大写金额和小写金额不一致的，以大写金额为准。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按上述方法调整后的投标报价经投标人确认后产生约束力，投标人不确认的，其投标无效。</w:t>
      </w:r>
      <w:r/>
    </w:p>
    <w:p>
      <w:pPr>
        <w:numPr>
          <w:ilvl w:val="0"/>
          <w:numId w:val="35"/>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技术分（70分）</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6"/>
        <w:gridCol w:w="1380"/>
        <w:gridCol w:w="5299"/>
        <w:gridCol w:w="929"/>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投标产品技术质量情况和配置选型情况比较（20分）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投标产品技术质量（包括产品技术参数、产品性能等）情况比较（20分）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投标单位必须详尽真实的提供该标段投标产品的技术参数表和技术响应对照表并提供相应的设备详细技术特性说明。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评委根据投标设备的主要技术参数及功能的符合性进行评分，所投设备的技术参数及功能均须满足或高于该标段招标文件要求，带“</w:t>
            </w:r>
            <w:r>
              <w:rPr>
                <w:rFonts w:ascii="SimSun" w:hAnsi="SimSun" w:eastAsia="SimSun" w:cs="SimSun"/>
                <w:color w:val="000000"/>
                <w:sz w:val="18"/>
              </w:rPr>
              <w:t xml:space="preserve">★</w:t>
            </w:r>
            <w:r>
              <w:rPr>
                <w:rFonts w:ascii="SimSun" w:hAnsi="SimSun" w:eastAsia="SimSun" w:cs="SimSun"/>
                <w:color w:val="000000"/>
                <w:sz w:val="21"/>
              </w:rPr>
              <w:t xml:space="preserve">”标注设备参数为该标段重点参数，</w:t>
            </w:r>
            <w:r>
              <w:rPr>
                <w:rFonts w:ascii="SimSun" w:hAnsi="SimSun" w:eastAsia="SimSun" w:cs="SimSun"/>
                <w:b/>
                <w:color w:val="000000"/>
                <w:sz w:val="21"/>
              </w:rPr>
              <w:t xml:space="preserve">带“</w:t>
            </w:r>
            <w:r>
              <w:rPr>
                <w:rFonts w:ascii="SimSun" w:hAnsi="SimSun" w:eastAsia="SimSun" w:cs="SimSun"/>
                <w:color w:val="000000"/>
                <w:sz w:val="18"/>
              </w:rPr>
              <w:t xml:space="preserve">★</w:t>
            </w:r>
            <w:r>
              <w:rPr>
                <w:rFonts w:ascii="SimSun" w:hAnsi="SimSun" w:eastAsia="SimSun" w:cs="SimSun"/>
                <w:b/>
                <w:color w:val="000000"/>
                <w:sz w:val="21"/>
              </w:rPr>
              <w:t xml:space="preserve">”需提供第三方权威机构出具的产品检验报告，</w:t>
            </w:r>
            <w:r>
              <w:rPr>
                <w:rFonts w:ascii="SimSun" w:hAnsi="SimSun" w:eastAsia="SimSun" w:cs="SimSun"/>
                <w:color w:val="000000"/>
                <w:sz w:val="21"/>
              </w:rPr>
              <w:t xml:space="preserve">检测报告内容与参数要求相符或者高于参数要求的，每一项得1分,本项最高20分</w:t>
            </w:r>
            <w:r>
              <w:rPr>
                <w:rFonts w:ascii="SimSun" w:hAnsi="SimSun" w:eastAsia="SimSun" w:cs="SimSun"/>
                <w:b/>
                <w:color w:val="000000"/>
                <w:sz w:val="21"/>
              </w:rPr>
              <w:t xml:space="preserve">（未按要求提供检测报告或提供检测报告不符合要求的不得分）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0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投标整体实施方案情况比较（35分）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整体项目技术方案进行对比（7分）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对本项目具有充分了解，并提出规范合理的总体设计方案，由评标委员会进行综合比较。对本项目充分了解，且项目总体设计方案优秀的得7分；对本项目充分了解，且项目总体设计方案良好的得4分；对本项目充分了结，但项目总体设计方案一般的得2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与吴江公安视频监控平台对接方案（7分）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苏州市公安局吴江分局视频专网监控平台及苏州市公安局吴江分局其他相对应平台对接的方案，具体办法、措施、步骤等内容由评委进行综合比较。科学合理，描述详细，逻辑清晰、可操作性强的得7分；比较科学合理，描述比较详细，能满足项目实施需要的得4分；描述简单，基本能满足项目实施需要的得2分；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施工组织、进度计划及进度控制方案（7分）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的组织实施方案设计完善及制定的实施进度计划和进度控制方案，实施方法、工艺流程的科学性、合理性、规范性和可操作性强比较：方案实施可行性最高，投入配置最完善得7分；方案实施可行性较高，投入配置较完善得4分；方案实施可行性不高，投入配置一般得2分；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3"/>
        </w:trPr>
        <w:tc>
          <w:tcPr>
            <w:tcBorders>
              <w:top w:val="none" w:color="000000" w:sz="4" w:space="0"/>
              <w:left w:val="single" w:color="000000" w:sz="8" w:space="0"/>
              <w:bottom w:val="single" w:color="000000" w:sz="12"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12"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安全管理及内部管理方案（7分）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12" w:space="0"/>
              <w:right w:val="single" w:color="000000" w:sz="8"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包括项目实施及维护过程中的安全防护措施，包括：安全文明施工、消防安全措施等，根据内容详细具有可行性比较。方案针对性强，实施可行性强的得7分；具备各类安全预案，方案较为完整，总体安排可行的得4分；具有安全预案，方案描述较为简单，可行性一般的得2分；未提供的不得分。</w:t>
            </w:r>
            <w:r/>
          </w:p>
        </w:tc>
        <w:tc>
          <w:tcPr>
            <w:tcBorders>
              <w:top w:val="none" w:color="000000" w:sz="4" w:space="0"/>
              <w:left w:val="single" w:color="000000" w:sz="8" w:space="0"/>
              <w:bottom w:val="single" w:color="000000" w:sz="12"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1741"/>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运营期间服务方案（7分）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投标单位服务方案包括服务团队、服务响应时间、排除故障时间、备品备件方案等内容进行比较，服务方案优秀、可行性高的得7分，相对合理的得4分，基本符合招标要求的得2分，未提供的不得分。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gridSpan w:val="3"/>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60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投标单位针对本项目投入人员实力比较（11分）</w:t>
            </w:r>
            <w:r/>
          </w:p>
        </w:tc>
      </w:tr>
      <w:tr>
        <w:trPr>
          <w:trHeight w:val="43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80" w:type="dxa"/>
            <w:vAlign w:val="center"/>
            <w:vMerge w:val="restart"/>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项目负责人（1人）（3分）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1、具备高级工程师证书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35"/>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2、具备高级信息系统项目管理师证书</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0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3、信息技术应用创新服务工程师（ITSS）证书</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4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4、具备高级售后服务管理师证书</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5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2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注：本项只限报1人，每有1项证书的记1分，本项最高得3分</w:t>
            </w:r>
            <w:r/>
          </w:p>
        </w:tc>
      </w:tr>
      <w:tr>
        <w:trPr>
          <w:trHeight w:val="2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8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技术及现场实施负责人（1人）（3分）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1、具备注册信息安全专业人员（CISP）注册信息安全证书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3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2、具备信息系统集成管理（高级）证书</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4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3、具备信息系统项目管理师证书</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3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4、具备网络通信安全管理员四级及以上证书</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38"/>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2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注：本项只限报1人，每有1项证书的记1分，本项最高得3分</w:t>
            </w:r>
            <w:r/>
          </w:p>
        </w:tc>
      </w:tr>
      <w:tr>
        <w:trPr>
          <w:trHeight w:val="377"/>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运维负责人（1人）（3分）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1、具备信息安全保障人员（CISAW）证书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09"/>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2、具备高级安全防范工程师证书</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18"/>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3、具备数据安全管理师（高级）证书</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74"/>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4、具备通信专业技术人员认证（设备环境-中级及以上）证书</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28"/>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注：本项只限报1人，每有1项证书的记1分，本项最高得3分</w:t>
            </w:r>
            <w:r/>
          </w:p>
        </w:tc>
      </w:tr>
      <w:tr>
        <w:trPr>
          <w:trHeight w:val="43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380"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项目组成员（不含项目负责人、技术及现场实施负责人、运维负责人）（2分）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1、具备高级工程师证书的得0.5分；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35"/>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2、具备IT服务工程师证书的得0.5分；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98"/>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3、具备信息系统集成管理（高级）证书的得0.5分；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412"/>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4、具备数据资产管理评估师（高级）证书的得0.5分；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775"/>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注：同一位组员有多项证书的只计1次；每本证书有多人具有的只计1次，证书不重复得分，本项最高得2分。</w:t>
            </w:r>
            <w:r/>
          </w:p>
        </w:tc>
      </w:tr>
      <w:tr>
        <w:trPr>
          <w:trHeight w:val="775"/>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投标文件中需提供有效证书及投标单位为其缴纳的近期的社保证明，以上材料扫描件加盖投标单位公章，资料不全不得分。</w:t>
            </w:r>
            <w:r/>
          </w:p>
        </w:tc>
      </w:tr>
      <w:tr>
        <w:trPr>
          <w:trHeight w:val="42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w:t>
            </w:r>
            <w:r/>
          </w:p>
        </w:tc>
        <w:tc>
          <w:tcPr>
            <w:gridSpan w:val="3"/>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6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企业情况比较（ 2分）</w:t>
            </w:r>
            <w:r/>
          </w:p>
        </w:tc>
      </w:tr>
      <w:tr>
        <w:trPr>
          <w:trHeight w:val="2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680"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具有有效期内的质量管理体系认证证书、环境管理体系认证证书、信息技术服务管理体系认证证书、职业健康安全管理体系认证证书的，每具备一个得0.5分，最高得2分，投标文件中提供证书扫描件及在中国国家认证认可监督管理委员会官方网站（www.cnca.gov.cn）上查询路径及页面截图，未提供或提供不全的不得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3"/>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0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注：须在投标文件中提供有效证书的扫描件并加盖投标单位公章，资料不全不得分。</w:t>
            </w:r>
            <w:r/>
          </w:p>
        </w:tc>
      </w:tr>
      <w:tr>
        <w:trPr>
          <w:trHeight w:val="2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类似业绩（2分）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668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投标单位提供2023年6月1日（以合同签订日期为准）以来类似项目业绩，每提供一个得0.5分，最高得2分。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注：投标文件中需提供相关合同及验收报告扫描件并加盖投标单位公章，资料不全不得分。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注：（1）报价超过招标预算将不进入综合评标程序，也不得中标。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（2）付款步骤、服务期限如有负偏离的不得中标。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（3）针对评分标准中评分的每一条，投标人均应提供相关资料并做出相应说明供评委评判，不提供相关资料的视为不具备该项得分的条件，资料须编好目录及页码。</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（4）投标单位须提供生产厂家针对该检测报告使用的授权委托书，并加盖生产厂家公章的委托书扫描件，且授权时间不得早于本项目挂网时间。</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响应人提供资料必须真实有效，中标后招标单位可对相应的产品检测报告、厂家授权书、证书等投标响应材料进行原件核查，投标单位如若提供虚假资料，将承担相应法律责任。以上须要递交的资料投标截止时间之前递交，逾时递交的资料将不作为评审依据。</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（全文完）</w:t>
      </w:r>
      <w:r/>
    </w:p>
    <w:p>
      <w:r/>
      <w:r/>
    </w:p>
    <w:sectPr>
      <w:footerReference w:type="default" r:id="rId9"/>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KaiTi">
    <w:panose1 w:val="02010609060101010101"/>
  </w:font>
  <w:font w:name="Symbol">
    <w:panose1 w:val="05050102010706020507"/>
  </w:font>
  <w:font w:name="Wingdings">
    <w:panose1 w:val="05000000000000000000"/>
  </w:font>
  <w:font w:name="Droid Sans Fallback">
    <w:panose1 w:val="020B0502000000000001"/>
  </w:font>
  <w:font w:name="黑体">
    <w:panose1 w:val="02010609060101010101"/>
  </w:font>
  <w:font w:name="等线">
    <w:panose1 w:val="02010600030101010101"/>
  </w:font>
  <w:font w:name="Courier New">
    <w:panose1 w:val="02070309020205020404"/>
  </w:font>
  <w:font w:name="方正仿宋简体">
    <w:panose1 w:val="020B0503020202020204"/>
  </w:font>
  <w:font w:name="Tahoma">
    <w:panose1 w:val="020B0604030504040204"/>
  </w:font>
  <w:font w:name="Calibri">
    <w:panose1 w:val="020F0502020204030204"/>
  </w:font>
  <w:font w:name="Cambria">
    <w:panose1 w:val="02040503050406030204"/>
  </w:font>
  <w:font w:name="楷体_GB2312">
    <w:panose1 w:val="02010609060101010101"/>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2272"/>
                            <w:rPr/>
                          </w:sdtPr>
                          <w:sdtContent>
                            <w:p>
                              <w:pPr>
                                <w:pStyle w:val="962"/>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p>
                          <w:pPr>
                            <w:pStyle w:val="94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2272"/>
                      <w:rPr/>
                    </w:sdtPr>
                    <w:sdtContent>
                      <w:p>
                        <w:pPr>
                          <w:pStyle w:val="962"/>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p>
                    <w:pPr>
                      <w:pStyle w:val="949"/>
                    </w:pPr>
                    <w:r/>
                    <w:r/>
                  </w:p>
                </w:txbxContent>
              </v:textbox>
            </v:shape>
          </w:pict>
        </mc:Fallback>
      </mc:AlternateContent>
    </w:r>
    <w:r/>
  </w:p>
  <w:p>
    <w:pPr>
      <w:pStyle w:val="962"/>
      <w:ind w:left="720" w:hanging="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sz w:val="40"/>
        <w:szCs w:val="4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32"/>
      <w:isLgl w:val="false"/>
      <w:suff w:val="tab"/>
      <w:lvlText w:val=""/>
      <w:lvlJc w:val="left"/>
      <w:pPr>
        <w:ind w:left="840" w:hanging="420"/>
        <w:tabs>
          <w:tab w:val="left" w:pos="839" w:leader="none"/>
        </w:tabs>
      </w:pPr>
      <w:rPr>
        <w:rFonts w:hint="default" w:ascii="Wingdings" w:hAnsi="Wingdings"/>
      </w:rPr>
    </w:lvl>
    <w:lvl w:ilvl="1">
      <w:start w:val="1"/>
      <w:numFmt w:val="lowerLetter"/>
      <w:isLgl w:val="false"/>
      <w:suff w:val="tab"/>
      <w:lvlText w:val="%2)"/>
      <w:lvlJc w:val="left"/>
      <w:pPr>
        <w:ind w:left="1260" w:hanging="420"/>
      </w:pPr>
      <w:rPr>
        <w:rFonts w:hint="default"/>
      </w:rPr>
    </w:lvl>
    <w:lvl w:ilvl="2">
      <w:start w:val="1"/>
      <w:numFmt w:val="lowerRoman"/>
      <w:isLgl w:val="false"/>
      <w:suff w:val="tab"/>
      <w:lvlText w:val="%3."/>
      <w:lvlJc w:val="right"/>
      <w:pPr>
        <w:ind w:left="1680" w:hanging="420"/>
      </w:pPr>
      <w:rPr>
        <w:rFonts w:hint="default"/>
      </w:rPr>
    </w:lvl>
    <w:lvl w:ilvl="3">
      <w:start w:val="1"/>
      <w:numFmt w:val="decimal"/>
      <w:isLgl w:val="false"/>
      <w:suff w:val="tab"/>
      <w:lvlText w:val="%4."/>
      <w:lvlJc w:val="left"/>
      <w:pPr>
        <w:ind w:left="2100" w:hanging="420"/>
      </w:pPr>
      <w:rPr>
        <w:rFonts w:hint="default"/>
      </w:rPr>
    </w:lvl>
    <w:lvl w:ilvl="4">
      <w:start w:val="1"/>
      <w:numFmt w:val="lowerLetter"/>
      <w:isLgl w:val="false"/>
      <w:suff w:val="tab"/>
      <w:lvlText w:val="%5)"/>
      <w:lvlJc w:val="left"/>
      <w:pPr>
        <w:ind w:left="2520" w:hanging="420"/>
      </w:pPr>
      <w:rPr>
        <w:rFonts w:hint="default"/>
      </w:rPr>
    </w:lvl>
    <w:lvl w:ilvl="5">
      <w:start w:val="1"/>
      <w:numFmt w:val="lowerRoman"/>
      <w:isLgl w:val="false"/>
      <w:suff w:val="tab"/>
      <w:lvlText w:val="%6."/>
      <w:lvlJc w:val="right"/>
      <w:pPr>
        <w:ind w:left="2940" w:hanging="420"/>
      </w:pPr>
      <w:rPr>
        <w:rFonts w:hint="default"/>
      </w:rPr>
    </w:lvl>
    <w:lvl w:ilvl="6">
      <w:start w:val="1"/>
      <w:numFmt w:val="decimal"/>
      <w:isLgl w:val="false"/>
      <w:suff w:val="tab"/>
      <w:lvlText w:val="%7."/>
      <w:lvlJc w:val="left"/>
      <w:pPr>
        <w:ind w:left="3360" w:hanging="420"/>
      </w:pPr>
      <w:rPr>
        <w:rFonts w:hint="default"/>
      </w:rPr>
    </w:lvl>
    <w:lvl w:ilvl="7">
      <w:start w:val="1"/>
      <w:numFmt w:val="lowerLetter"/>
      <w:isLgl w:val="false"/>
      <w:suff w:val="tab"/>
      <w:lvlText w:val="%8)"/>
      <w:lvlJc w:val="left"/>
      <w:pPr>
        <w:ind w:left="3780" w:hanging="420"/>
      </w:pPr>
      <w:rPr>
        <w:rFonts w:hint="default"/>
      </w:rPr>
    </w:lvl>
    <w:lvl w:ilvl="8">
      <w:start w:val="1"/>
      <w:numFmt w:val="lowerRoman"/>
      <w:isLgl w:val="false"/>
      <w:suff w:val="tab"/>
      <w:lvlText w:val="%9."/>
      <w:lvlJc w:val="right"/>
      <w:pPr>
        <w:ind w:left="4200" w:hanging="420"/>
      </w:pPr>
      <w:rPr>
        <w:rFonts w:hint="default"/>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2">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31">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40">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45">
    <w:multiLevelType w:val="hybridMultilevel"/>
    <w:lvl w:ilvl="0">
      <w:start w:val="5"/>
      <w:numFmt w:val="decimal"/>
      <w:isLgl w:val="false"/>
      <w:suff w:val="tab"/>
      <w:lvlText w:val="第%1章"/>
      <w:lvlJc w:val="left"/>
      <w:pPr>
        <w:ind w:left="0" w:firstLine="0"/>
      </w:pPr>
      <w:rPr>
        <w:sz w:val="40"/>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47">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6"/>
  </w:num>
  <w:num w:numId="2">
    <w:abstractNumId w:val="2"/>
  </w:num>
  <w:num w:numId="3">
    <w:abstractNumId w:val="1"/>
  </w:num>
  <w:num w:numId="4">
    <w:abstractNumId w:val="3"/>
  </w:num>
  <w:num w:numId="5">
    <w:abstractNumId w:val="8"/>
  </w:num>
  <w:num w:numId="6">
    <w:abstractNumId w:val="9"/>
  </w:num>
  <w:num w:numId="7">
    <w:abstractNumId w:val="12"/>
  </w:num>
  <w:num w:numId="8">
    <w:abstractNumId w:val="4"/>
  </w:num>
  <w:num w:numId="9">
    <w:abstractNumId w:val="13"/>
  </w:num>
  <w:num w:numId="10">
    <w:abstractNumId w:val="7"/>
  </w:num>
  <w:num w:numId="11">
    <w:abstractNumId w:val="10"/>
  </w:num>
  <w:num w:numId="12">
    <w:abstractNumId w:val="5"/>
  </w:num>
  <w:num w:numId="13">
    <w:abstractNumId w:val="14"/>
  </w:num>
  <w:num w:numId="14">
    <w:abstractNumId w:val="15"/>
  </w:num>
  <w:num w:numId="15">
    <w:abstractNumId w:val="0"/>
  </w:num>
  <w:num w:numId="16">
    <w:abstractNumId w:val="11"/>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Heading 1 Char"/>
    <w:basedOn w:val="947"/>
    <w:link w:val="943"/>
    <w:uiPriority w:val="9"/>
    <w:rPr>
      <w:rFonts w:ascii="Arial" w:hAnsi="Arial" w:eastAsia="Arial" w:cs="Arial"/>
      <w:sz w:val="40"/>
      <w:szCs w:val="40"/>
    </w:rPr>
  </w:style>
  <w:style w:type="character" w:styleId="782">
    <w:name w:val="Heading 2 Char"/>
    <w:basedOn w:val="947"/>
    <w:link w:val="944"/>
    <w:uiPriority w:val="9"/>
    <w:rPr>
      <w:rFonts w:ascii="Arial" w:hAnsi="Arial" w:eastAsia="Arial" w:cs="Arial"/>
      <w:sz w:val="34"/>
    </w:rPr>
  </w:style>
  <w:style w:type="character" w:styleId="783">
    <w:name w:val="Heading 3 Char"/>
    <w:basedOn w:val="947"/>
    <w:link w:val="945"/>
    <w:uiPriority w:val="9"/>
    <w:rPr>
      <w:rFonts w:ascii="Arial" w:hAnsi="Arial" w:eastAsia="Arial" w:cs="Arial"/>
      <w:sz w:val="30"/>
      <w:szCs w:val="30"/>
    </w:rPr>
  </w:style>
  <w:style w:type="character" w:styleId="784">
    <w:name w:val="Heading 4 Char"/>
    <w:basedOn w:val="947"/>
    <w:link w:val="946"/>
    <w:uiPriority w:val="9"/>
    <w:rPr>
      <w:rFonts w:ascii="Arial" w:hAnsi="Arial" w:eastAsia="Arial" w:cs="Arial"/>
      <w:b/>
      <w:bCs/>
      <w:sz w:val="26"/>
      <w:szCs w:val="26"/>
    </w:rPr>
  </w:style>
  <w:style w:type="paragraph" w:styleId="785">
    <w:name w:val="Heading 5"/>
    <w:basedOn w:val="942"/>
    <w:next w:val="942"/>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basedOn w:val="947"/>
    <w:link w:val="785"/>
    <w:uiPriority w:val="9"/>
    <w:rPr>
      <w:rFonts w:ascii="Arial" w:hAnsi="Arial" w:eastAsia="Arial" w:cs="Arial"/>
      <w:b/>
      <w:bCs/>
      <w:sz w:val="24"/>
      <w:szCs w:val="24"/>
    </w:rPr>
  </w:style>
  <w:style w:type="paragraph" w:styleId="787">
    <w:name w:val="Heading 6"/>
    <w:basedOn w:val="942"/>
    <w:next w:val="942"/>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basedOn w:val="947"/>
    <w:link w:val="787"/>
    <w:uiPriority w:val="9"/>
    <w:rPr>
      <w:rFonts w:ascii="Arial" w:hAnsi="Arial" w:eastAsia="Arial" w:cs="Arial"/>
      <w:b/>
      <w:bCs/>
      <w:sz w:val="22"/>
      <w:szCs w:val="22"/>
    </w:rPr>
  </w:style>
  <w:style w:type="paragraph" w:styleId="789">
    <w:name w:val="Heading 7"/>
    <w:basedOn w:val="942"/>
    <w:next w:val="942"/>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basedOn w:val="947"/>
    <w:link w:val="789"/>
    <w:uiPriority w:val="9"/>
    <w:rPr>
      <w:rFonts w:ascii="Arial" w:hAnsi="Arial" w:eastAsia="Arial" w:cs="Arial"/>
      <w:b/>
      <w:bCs/>
      <w:i/>
      <w:iCs/>
      <w:sz w:val="22"/>
      <w:szCs w:val="22"/>
    </w:rPr>
  </w:style>
  <w:style w:type="paragraph" w:styleId="791">
    <w:name w:val="Heading 8"/>
    <w:basedOn w:val="942"/>
    <w:next w:val="942"/>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basedOn w:val="947"/>
    <w:link w:val="791"/>
    <w:uiPriority w:val="9"/>
    <w:rPr>
      <w:rFonts w:ascii="Arial" w:hAnsi="Arial" w:eastAsia="Arial" w:cs="Arial"/>
      <w:i/>
      <w:iCs/>
      <w:sz w:val="22"/>
      <w:szCs w:val="22"/>
    </w:rPr>
  </w:style>
  <w:style w:type="paragraph" w:styleId="793">
    <w:name w:val="Heading 9"/>
    <w:basedOn w:val="942"/>
    <w:next w:val="942"/>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basedOn w:val="947"/>
    <w:link w:val="793"/>
    <w:uiPriority w:val="9"/>
    <w:rPr>
      <w:rFonts w:ascii="Arial" w:hAnsi="Arial" w:eastAsia="Arial" w:cs="Arial"/>
      <w:i/>
      <w:iCs/>
      <w:sz w:val="21"/>
      <w:szCs w:val="21"/>
    </w:rPr>
  </w:style>
  <w:style w:type="paragraph" w:styleId="795">
    <w:name w:val="No Spacing"/>
    <w:uiPriority w:val="1"/>
    <w:qFormat/>
    <w:pPr>
      <w:spacing w:before="0" w:after="0" w:line="240" w:lineRule="auto"/>
    </w:pPr>
  </w:style>
  <w:style w:type="paragraph" w:styleId="796">
    <w:name w:val="Title"/>
    <w:basedOn w:val="942"/>
    <w:next w:val="942"/>
    <w:link w:val="797"/>
    <w:uiPriority w:val="10"/>
    <w:qFormat/>
    <w:pPr>
      <w:contextualSpacing/>
      <w:spacing w:before="300" w:after="200"/>
    </w:pPr>
    <w:rPr>
      <w:sz w:val="48"/>
      <w:szCs w:val="48"/>
    </w:rPr>
  </w:style>
  <w:style w:type="character" w:styleId="797">
    <w:name w:val="Title Char"/>
    <w:basedOn w:val="947"/>
    <w:link w:val="796"/>
    <w:uiPriority w:val="10"/>
    <w:rPr>
      <w:sz w:val="48"/>
      <w:szCs w:val="48"/>
    </w:rPr>
  </w:style>
  <w:style w:type="character" w:styleId="798">
    <w:name w:val="Subtitle Char"/>
    <w:basedOn w:val="947"/>
    <w:link w:val="966"/>
    <w:uiPriority w:val="11"/>
    <w:rPr>
      <w:sz w:val="24"/>
      <w:szCs w:val="24"/>
    </w:rPr>
  </w:style>
  <w:style w:type="paragraph" w:styleId="799">
    <w:name w:val="Quote"/>
    <w:basedOn w:val="942"/>
    <w:next w:val="942"/>
    <w:link w:val="800"/>
    <w:uiPriority w:val="29"/>
    <w:qFormat/>
    <w:pPr>
      <w:ind w:left="720" w:right="720"/>
    </w:pPr>
    <w:rPr>
      <w:i/>
    </w:rPr>
  </w:style>
  <w:style w:type="character" w:styleId="800">
    <w:name w:val="Quote Char"/>
    <w:link w:val="799"/>
    <w:uiPriority w:val="29"/>
    <w:rPr>
      <w:i/>
    </w:rPr>
  </w:style>
  <w:style w:type="paragraph" w:styleId="801">
    <w:name w:val="Intense Quote"/>
    <w:basedOn w:val="942"/>
    <w:next w:val="942"/>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7"/>
    <w:link w:val="963"/>
    <w:uiPriority w:val="99"/>
  </w:style>
  <w:style w:type="character" w:styleId="804">
    <w:name w:val="Footer Char"/>
    <w:basedOn w:val="947"/>
    <w:link w:val="962"/>
    <w:uiPriority w:val="99"/>
  </w:style>
  <w:style w:type="paragraph" w:styleId="805">
    <w:name w:val="Caption"/>
    <w:basedOn w:val="942"/>
    <w:next w:val="942"/>
    <w:uiPriority w:val="35"/>
    <w:semiHidden/>
    <w:unhideWhenUsed/>
    <w:qFormat/>
    <w:pPr>
      <w:spacing w:line="276" w:lineRule="auto"/>
    </w:pPr>
    <w:rPr>
      <w:b/>
      <w:bCs/>
      <w:color w:val="4f81bd" w:themeColor="accent1"/>
      <w:sz w:val="18"/>
      <w:szCs w:val="18"/>
    </w:rPr>
  </w:style>
  <w:style w:type="character" w:styleId="806">
    <w:name w:val="Caption Char"/>
    <w:basedOn w:val="805"/>
    <w:link w:val="962"/>
    <w:uiPriority w:val="99"/>
  </w:style>
  <w:style w:type="table" w:styleId="807">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3">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4">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5">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6">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7">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8">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5">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8">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9">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0">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1">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2">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3">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5">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6">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7">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8">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9">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0">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9">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0">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1">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2">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3">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4">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6">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7">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8">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9">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0">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1">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3">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4">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5">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6">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7">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8">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0">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1">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2">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3">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4">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5">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Footnote Text Char"/>
    <w:link w:val="967"/>
    <w:uiPriority w:val="99"/>
    <w:rPr>
      <w:sz w:val="18"/>
    </w:rPr>
  </w:style>
  <w:style w:type="paragraph" w:styleId="933">
    <w:name w:val="endnote text"/>
    <w:basedOn w:val="942"/>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47"/>
    <w:uiPriority w:val="99"/>
    <w:semiHidden/>
    <w:unhideWhenUsed/>
    <w:rPr>
      <w:vertAlign w:val="superscript"/>
    </w:rPr>
  </w:style>
  <w:style w:type="paragraph" w:styleId="936">
    <w:name w:val="toc 5"/>
    <w:basedOn w:val="942"/>
    <w:next w:val="942"/>
    <w:uiPriority w:val="39"/>
    <w:unhideWhenUsed/>
    <w:pPr>
      <w:ind w:left="1134" w:right="0" w:firstLine="0"/>
      <w:spacing w:after="57"/>
    </w:pPr>
  </w:style>
  <w:style w:type="paragraph" w:styleId="937">
    <w:name w:val="toc 6"/>
    <w:basedOn w:val="942"/>
    <w:next w:val="942"/>
    <w:uiPriority w:val="39"/>
    <w:unhideWhenUsed/>
    <w:pPr>
      <w:ind w:left="1417"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9"/>
    <w:uiPriority w:val="0"/>
    <w:qFormat/>
    <w:pPr>
      <w:jc w:val="both"/>
      <w:widowControl w:val="off"/>
    </w:pPr>
    <w:rPr>
      <w:rFonts w:ascii="Times New Roman" w:hAnsi="Times New Roman" w:eastAsia="楷体_GB2312" w:cs="Times New Roman"/>
      <w:sz w:val="26"/>
      <w:lang w:val="en-US" w:eastAsia="zh-CN" w:bidi="ar-SA"/>
    </w:rPr>
  </w:style>
  <w:style w:type="paragraph" w:styleId="943">
    <w:name w:val="Heading 1"/>
    <w:basedOn w:val="942"/>
    <w:next w:val="942"/>
    <w:link w:val="1013"/>
    <w:uiPriority w:val="9"/>
    <w:qFormat/>
    <w:pPr>
      <w:keepLines/>
      <w:keepNext/>
      <w:spacing w:before="340" w:after="330" w:line="578" w:lineRule="auto"/>
      <w:outlineLvl w:val="0"/>
    </w:pPr>
    <w:rPr>
      <w:rFonts w:eastAsia="宋体"/>
      <w:b/>
      <w:sz w:val="44"/>
      <w:lang w:val="zh-CN"/>
    </w:rPr>
  </w:style>
  <w:style w:type="paragraph" w:styleId="944">
    <w:name w:val="Heading 2"/>
    <w:basedOn w:val="942"/>
    <w:next w:val="942"/>
    <w:link w:val="1010"/>
    <w:uiPriority w:val="9"/>
    <w:qFormat/>
    <w:pPr>
      <w:jc w:val="center"/>
      <w:keepLines/>
      <w:keepNext/>
      <w:outlineLvl w:val="1"/>
    </w:pPr>
    <w:rPr>
      <w:rFonts w:ascii="宋体" w:hAnsi="宋体"/>
      <w:b/>
      <w:sz w:val="44"/>
    </w:rPr>
  </w:style>
  <w:style w:type="paragraph" w:styleId="945">
    <w:name w:val="Heading 3"/>
    <w:basedOn w:val="942"/>
    <w:next w:val="942"/>
    <w:uiPriority w:val="0"/>
    <w:qFormat/>
    <w:pPr>
      <w:jc w:val="left"/>
      <w:keepLines/>
      <w:keepNext/>
      <w:outlineLvl w:val="2"/>
    </w:pPr>
    <w:rPr>
      <w:rFonts w:eastAsia="宋体"/>
      <w:b/>
      <w:sz w:val="21"/>
    </w:rPr>
  </w:style>
  <w:style w:type="paragraph" w:styleId="946">
    <w:name w:val="Heading 4"/>
    <w:basedOn w:val="942"/>
    <w:next w:val="942"/>
    <w:link w:val="985"/>
    <w:uiPriority w:val="0"/>
    <w:qFormat/>
    <w:pPr>
      <w:keepLines/>
      <w:keepNext/>
      <w:spacing w:before="280" w:after="290" w:line="376" w:lineRule="auto"/>
      <w:outlineLvl w:val="3"/>
    </w:pPr>
    <w:rPr>
      <w:rFonts w:ascii="Cambria" w:hAnsi="Cambria" w:eastAsia="宋体"/>
      <w:b/>
      <w:bCs/>
      <w:sz w:val="28"/>
      <w:szCs w:val="28"/>
      <w:lang w:val="zh-CN"/>
    </w:rPr>
  </w:style>
  <w:style w:type="character" w:styleId="947" w:default="1">
    <w:name w:val="Default Paragraph Font"/>
    <w:uiPriority w:val="1"/>
    <w:semiHidden/>
    <w:unhideWhenUsed/>
    <w:qFormat/>
  </w:style>
  <w:style w:type="table" w:styleId="948"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949" w:customStyle="1">
    <w:name w:val="首行缩进"/>
    <w:basedOn w:val="942"/>
    <w:uiPriority w:val="0"/>
    <w:qFormat/>
    <w:pPr>
      <w:ind w:firstLine="480"/>
    </w:pPr>
    <w:rPr>
      <w:lang w:val="zh-CN"/>
    </w:rPr>
  </w:style>
  <w:style w:type="paragraph" w:styleId="950">
    <w:name w:val="toc 7"/>
    <w:basedOn w:val="943"/>
    <w:next w:val="942"/>
    <w:uiPriority w:val="0"/>
    <w:qFormat/>
    <w:pPr>
      <w:ind w:left="1640" w:firstLine="3784"/>
      <w:spacing w:before="0" w:after="0" w:line="360" w:lineRule="auto"/>
    </w:pPr>
    <w:rPr>
      <w:rFonts w:ascii="Times New Roman" w:hAnsi="Times New Roman" w:cs="Times New Roman"/>
    </w:rPr>
  </w:style>
  <w:style w:type="paragraph" w:styleId="951">
    <w:name w:val="Normal Indent"/>
    <w:basedOn w:val="942"/>
    <w:next w:val="942"/>
    <w:link w:val="988"/>
    <w:uiPriority w:val="0"/>
    <w:qFormat/>
    <w:pPr>
      <w:ind w:firstLine="420"/>
      <w:jc w:val="left"/>
    </w:pPr>
    <w:rPr>
      <w:sz w:val="24"/>
      <w:lang w:val="zh-CN"/>
    </w:rPr>
  </w:style>
  <w:style w:type="paragraph" w:styleId="952">
    <w:name w:val="annotation text"/>
    <w:basedOn w:val="942"/>
    <w:link w:val="986"/>
    <w:uiPriority w:val="0"/>
    <w:qFormat/>
    <w:pPr>
      <w:jc w:val="left"/>
    </w:pPr>
    <w:rPr>
      <w:rFonts w:eastAsia="宋体"/>
      <w:lang w:val="zh-CN"/>
    </w:rPr>
  </w:style>
  <w:style w:type="paragraph" w:styleId="953">
    <w:name w:val="Body Text"/>
    <w:basedOn w:val="942"/>
    <w:next w:val="951"/>
    <w:link w:val="1006"/>
    <w:uiPriority w:val="0"/>
    <w:qFormat/>
    <w:pPr>
      <w:spacing w:line="400" w:lineRule="exact"/>
    </w:pPr>
    <w:rPr>
      <w:rFonts w:ascii="楷体_GB2312" w:eastAsia="宋体"/>
      <w:sz w:val="28"/>
    </w:rPr>
  </w:style>
  <w:style w:type="paragraph" w:styleId="954">
    <w:name w:val="Body Text Indent"/>
    <w:basedOn w:val="942"/>
    <w:next w:val="955"/>
    <w:link w:val="990"/>
    <w:uiPriority w:val="0"/>
    <w:qFormat/>
    <w:pPr>
      <w:ind w:left="570"/>
      <w:spacing w:line="520" w:lineRule="exact"/>
    </w:pPr>
    <w:rPr>
      <w:rFonts w:ascii="方正仿宋简体" w:hAnsi="创艺简仿宋" w:eastAsia="方正仿宋简体"/>
      <w:sz w:val="24"/>
      <w:lang w:val="zh-CN"/>
    </w:rPr>
  </w:style>
  <w:style w:type="paragraph" w:styleId="955">
    <w:name w:val="envelope return"/>
    <w:basedOn w:val="942"/>
    <w:uiPriority w:val="0"/>
    <w:qFormat/>
    <w:pPr>
      <w:jc w:val="both"/>
      <w:widowControl w:val="off"/>
    </w:pPr>
    <w:rPr>
      <w:rFonts w:ascii="Arial" w:hAnsi="Arial" w:eastAsia="宋体" w:cs="Times New Roman"/>
      <w:sz w:val="21"/>
      <w:szCs w:val="24"/>
      <w:lang w:val="en-US" w:eastAsia="zh-CN" w:bidi="ar-SA"/>
    </w:rPr>
  </w:style>
  <w:style w:type="paragraph" w:styleId="956">
    <w:name w:val="List 2"/>
    <w:basedOn w:val="943"/>
    <w:next w:val="950"/>
    <w:uiPriority w:val="0"/>
    <w:qFormat/>
    <w:pPr>
      <w:ind w:left="100" w:firstLine="3640"/>
      <w:spacing w:before="0" w:after="0" w:line="240" w:lineRule="auto"/>
    </w:pPr>
    <w:rPr>
      <w:rFonts w:ascii="Times New Roman" w:hAnsi="Times New Roman" w:cs="Times New Roman"/>
    </w:rPr>
  </w:style>
  <w:style w:type="paragraph" w:styleId="957">
    <w:name w:val="toc 3"/>
    <w:basedOn w:val="942"/>
    <w:next w:val="942"/>
    <w:uiPriority w:val="39"/>
    <w:qFormat/>
    <w:pPr>
      <w:ind w:left="840"/>
    </w:pPr>
  </w:style>
  <w:style w:type="paragraph" w:styleId="958">
    <w:name w:val="Plain Text"/>
    <w:basedOn w:val="942"/>
    <w:link w:val="1093"/>
    <w:uiPriority w:val="0"/>
    <w:qFormat/>
    <w:rPr>
      <w:rFonts w:ascii="宋体" w:hAnsi="Courier New"/>
    </w:rPr>
  </w:style>
  <w:style w:type="paragraph" w:styleId="959">
    <w:name w:val="Date"/>
    <w:basedOn w:val="942"/>
    <w:next w:val="942"/>
    <w:link w:val="1018"/>
    <w:uiPriority w:val="0"/>
    <w:qFormat/>
    <w:pPr>
      <w:ind w:left="100"/>
    </w:pPr>
  </w:style>
  <w:style w:type="paragraph" w:styleId="960">
    <w:name w:val="Body Text Indent 2"/>
    <w:basedOn w:val="942"/>
    <w:uiPriority w:val="0"/>
    <w:qFormat/>
    <w:pPr>
      <w:ind w:firstLine="502"/>
      <w:spacing w:line="360" w:lineRule="auto"/>
      <w:tabs>
        <w:tab w:val="left" w:pos="0" w:leader="none"/>
      </w:tabs>
    </w:pPr>
    <w:rPr>
      <w:rFonts w:ascii="宋体" w:eastAsia="宋体"/>
      <w:b/>
      <w:bCs/>
      <w:sz w:val="24"/>
    </w:rPr>
  </w:style>
  <w:style w:type="paragraph" w:styleId="961">
    <w:name w:val="Balloon Text"/>
    <w:basedOn w:val="942"/>
    <w:uiPriority w:val="0"/>
    <w:semiHidden/>
    <w:qFormat/>
    <w:rPr>
      <w:sz w:val="18"/>
      <w:szCs w:val="18"/>
    </w:rPr>
  </w:style>
  <w:style w:type="paragraph" w:styleId="962">
    <w:name w:val="Footer"/>
    <w:basedOn w:val="942"/>
    <w:link w:val="1034"/>
    <w:uiPriority w:val="99"/>
    <w:qFormat/>
    <w:pPr>
      <w:jc w:val="left"/>
      <w:tabs>
        <w:tab w:val="center" w:pos="4153" w:leader="none"/>
        <w:tab w:val="right" w:pos="8306" w:leader="none"/>
      </w:tabs>
    </w:pPr>
    <w:rPr>
      <w:rFonts w:eastAsia="宋体"/>
      <w:sz w:val="18"/>
    </w:rPr>
  </w:style>
  <w:style w:type="paragraph" w:styleId="963">
    <w:name w:val="Header"/>
    <w:basedOn w:val="942"/>
    <w:link w:val="1033"/>
    <w:uiPriority w:val="99"/>
    <w:qFormat/>
    <w:pPr>
      <w:jc w:val="center"/>
      <w:tabs>
        <w:tab w:val="center" w:pos="4153" w:leader="none"/>
        <w:tab w:val="right" w:pos="8306" w:leader="none"/>
      </w:tabs>
      <w:pBdr>
        <w:bottom w:val="single" w:color="auto" w:sz="6" w:space="1"/>
      </w:pBdr>
    </w:pPr>
    <w:rPr>
      <w:rFonts w:eastAsia="宋体"/>
      <w:sz w:val="18"/>
    </w:rPr>
  </w:style>
  <w:style w:type="paragraph" w:styleId="964">
    <w:name w:val="toc 1"/>
    <w:basedOn w:val="942"/>
    <w:next w:val="942"/>
    <w:uiPriority w:val="39"/>
    <w:qFormat/>
    <w:pPr>
      <w:jc w:val="left"/>
    </w:pPr>
    <w:rPr>
      <w:rFonts w:eastAsia="宋体"/>
      <w:sz w:val="24"/>
    </w:rPr>
  </w:style>
  <w:style w:type="paragraph" w:styleId="965">
    <w:name w:val="toc 4"/>
    <w:basedOn w:val="942"/>
    <w:next w:val="942"/>
    <w:uiPriority w:val="0"/>
    <w:qFormat/>
    <w:pPr>
      <w:ind w:left="630"/>
      <w:jc w:val="left"/>
    </w:pPr>
    <w:rPr>
      <w:szCs w:val="21"/>
    </w:rPr>
  </w:style>
  <w:style w:type="paragraph" w:styleId="966">
    <w:name w:val="Subtitle"/>
    <w:basedOn w:val="942"/>
    <w:next w:val="942"/>
    <w:uiPriority w:val="0"/>
    <w:qFormat/>
    <w:pPr>
      <w:jc w:val="center"/>
      <w:spacing w:before="240" w:after="60" w:line="312" w:lineRule="auto"/>
      <w:outlineLvl w:val="1"/>
    </w:pPr>
    <w:rPr>
      <w:rFonts w:ascii="宋体" w:hAnsi="Courier New"/>
    </w:rPr>
  </w:style>
  <w:style w:type="paragraph" w:styleId="967">
    <w:name w:val="footnote text"/>
    <w:basedOn w:val="942"/>
    <w:link w:val="1098"/>
    <w:uiPriority w:val="0"/>
    <w:qFormat/>
    <w:pPr>
      <w:ind w:left="0" w:right="0" w:firstLine="3584"/>
      <w:jc w:val="both"/>
      <w:keepLines w:val="0"/>
      <w:keepNext w:val="0"/>
      <w:spacing w:before="0" w:beforeAutospacing="0" w:after="0" w:afterAutospacing="0" w:line="360" w:lineRule="auto"/>
      <w:widowControl/>
      <w:outlineLvl w:val="0"/>
      <w:suppressLineNumbers w:val="0"/>
    </w:pPr>
    <w:rPr>
      <w:rFonts w:hint="default" w:ascii="Times New Roman" w:hAnsi="Times New Roman" w:eastAsia="宋体" w:cs="Times New Roman"/>
      <w:sz w:val="20"/>
      <w:szCs w:val="20"/>
      <w:lang w:val="en-US" w:eastAsia="zh-CN" w:bidi="ar"/>
    </w:rPr>
  </w:style>
  <w:style w:type="paragraph" w:styleId="968">
    <w:name w:val="toc 2"/>
    <w:basedOn w:val="942"/>
    <w:next w:val="942"/>
    <w:uiPriority w:val="39"/>
    <w:unhideWhenUsed/>
    <w:qFormat/>
    <w:pPr>
      <w:ind w:left="220"/>
      <w:jc w:val="left"/>
      <w:spacing w:after="100" w:line="259" w:lineRule="auto"/>
      <w:widowControl/>
    </w:pPr>
    <w:rPr>
      <w:rFonts w:asciiTheme="minorHAnsi" w:hAnsiTheme="minorHAnsi" w:eastAsiaTheme="minorEastAsia"/>
      <w:sz w:val="22"/>
      <w:szCs w:val="22"/>
    </w:rPr>
  </w:style>
  <w:style w:type="paragraph" w:styleId="969">
    <w:name w:val="Body Text 2"/>
    <w:basedOn w:val="942"/>
    <w:link w:val="1008"/>
    <w:uiPriority w:val="0"/>
    <w:qFormat/>
    <w:pPr>
      <w:spacing w:after="120" w:line="480" w:lineRule="auto"/>
    </w:pPr>
  </w:style>
  <w:style w:type="paragraph" w:styleId="970">
    <w:name w:val="HTML Preformatted"/>
    <w:basedOn w:val="942"/>
    <w:link w:val="1094"/>
    <w:uiPriority w:val="0"/>
    <w:unhideWhenUsed/>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w:hAnsi="等线" w:eastAsia="黑体"/>
      <w:sz w:val="18"/>
      <w:szCs w:val="18"/>
    </w:rPr>
  </w:style>
  <w:style w:type="paragraph" w:styleId="971">
    <w:name w:val="Normal (Web)"/>
    <w:basedOn w:val="942"/>
    <w:uiPriority w:val="0"/>
    <w:qFormat/>
    <w:pPr>
      <w:jc w:val="left"/>
      <w:spacing w:before="100" w:beforeAutospacing="1" w:after="100" w:afterAutospacing="1"/>
      <w:widowControl/>
    </w:pPr>
    <w:rPr>
      <w:rFonts w:hint="eastAsia" w:ascii="宋体" w:hAnsi="宋体" w:eastAsia="宋体"/>
      <w:sz w:val="24"/>
    </w:rPr>
  </w:style>
  <w:style w:type="paragraph" w:styleId="972">
    <w:name w:val="annotation subject"/>
    <w:basedOn w:val="952"/>
    <w:next w:val="952"/>
    <w:link w:val="987"/>
    <w:uiPriority w:val="99"/>
    <w:qFormat/>
    <w:rPr>
      <w:rFonts w:eastAsia="楷体_GB2312"/>
      <w:b/>
      <w:bCs/>
    </w:rPr>
  </w:style>
  <w:style w:type="paragraph" w:styleId="973">
    <w:name w:val="Body Text First Indent 2"/>
    <w:basedOn w:val="954"/>
    <w:link w:val="989"/>
    <w:uiPriority w:val="0"/>
    <w:qFormat/>
    <w:pPr>
      <w:ind w:left="420" w:firstLine="420"/>
      <w:spacing w:after="120" w:line="240" w:lineRule="auto"/>
    </w:pPr>
    <w:rPr>
      <w:rFonts w:ascii="Calibri" w:hAnsi="Calibri" w:eastAsia="楷体_GB2312"/>
      <w:sz w:val="28"/>
    </w:rPr>
  </w:style>
  <w:style w:type="table" w:styleId="974">
    <w:name w:val="Table Grid"/>
    <w:basedOn w:val="9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5">
    <w:name w:val="Strong"/>
    <w:uiPriority w:val="0"/>
    <w:qFormat/>
    <w:rPr>
      <w:b/>
      <w:bCs/>
    </w:rPr>
  </w:style>
  <w:style w:type="character" w:styleId="976">
    <w:name w:val="page number"/>
    <w:uiPriority w:val="0"/>
    <w:qFormat/>
    <w:rPr>
      <w:rFonts w:ascii="Times New Roman" w:hAnsi="Times New Roman" w:eastAsia="宋体" w:cs="Times New Roman"/>
    </w:rPr>
  </w:style>
  <w:style w:type="character" w:styleId="977">
    <w:name w:val="FollowedHyperlink"/>
    <w:basedOn w:val="947"/>
    <w:uiPriority w:val="99"/>
    <w:qFormat/>
    <w:rPr>
      <w:color w:val="800080"/>
      <w:u w:val="none"/>
    </w:rPr>
  </w:style>
  <w:style w:type="character" w:styleId="978">
    <w:name w:val="Hyperlink"/>
    <w:basedOn w:val="947"/>
    <w:uiPriority w:val="99"/>
    <w:qFormat/>
    <w:rPr>
      <w:color w:val="0000ff"/>
      <w:u w:val="none"/>
    </w:rPr>
  </w:style>
  <w:style w:type="character" w:styleId="979">
    <w:name w:val="annotation reference"/>
    <w:uiPriority w:val="0"/>
    <w:qFormat/>
    <w:rPr>
      <w:sz w:val="21"/>
      <w:szCs w:val="21"/>
    </w:rPr>
  </w:style>
  <w:style w:type="character" w:styleId="980">
    <w:name w:val="footnote reference"/>
    <w:basedOn w:val="947"/>
    <w:uiPriority w:val="0"/>
    <w:qFormat/>
    <w:rPr>
      <w:rFonts w:hint="default" w:ascii="Times New Roman" w:hAnsi="Times New Roman" w:eastAsia="宋体" w:cs="Times New Roman"/>
      <w:vertAlign w:val="superscript"/>
    </w:rPr>
  </w:style>
  <w:style w:type="paragraph" w:styleId="981" w:customStyle="1">
    <w:name w:val="段"/>
    <w:next w:val="94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82" w:customStyle="1">
    <w:name w:val="UserStyle_0"/>
    <w:basedOn w:val="942"/>
    <w:uiPriority w:val="0"/>
    <w:qFormat/>
    <w:pPr>
      <w:ind w:left="369" w:firstLine="369"/>
      <w:spacing w:line="318" w:lineRule="atLeast"/>
    </w:pPr>
    <w:rPr>
      <w:rFonts w:ascii="宋体" w:hAnsi="Times New Roman" w:eastAsia="宋体"/>
    </w:rPr>
  </w:style>
  <w:style w:type="paragraph" w:styleId="983"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984" w:customStyle="1">
    <w:name w:val="正文1"/>
    <w:next w:val="942"/>
    <w:uiPriority w:val="0"/>
    <w:qFormat/>
    <w:pPr>
      <w:jc w:val="both"/>
      <w:spacing w:line="312" w:lineRule="atLeast"/>
      <w:widowControl w:val="off"/>
    </w:pPr>
    <w:rPr>
      <w:rFonts w:ascii="宋体" w:hAnsi="Calibri" w:eastAsia="宋体" w:cs="Times New Roman"/>
      <w:sz w:val="34"/>
      <w:szCs w:val="22"/>
      <w:lang w:val="en-US" w:eastAsia="zh-CN" w:bidi="ar-SA"/>
    </w:rPr>
  </w:style>
  <w:style w:type="character" w:styleId="985" w:customStyle="1">
    <w:name w:val="标题 4 Char"/>
    <w:link w:val="946"/>
    <w:uiPriority w:val="0"/>
    <w:semiHidden/>
    <w:qFormat/>
    <w:rPr>
      <w:rFonts w:ascii="Cambria" w:hAnsi="Cambria" w:eastAsia="宋体" w:cs="Times New Roman"/>
      <w:b/>
      <w:bCs/>
      <w:sz w:val="28"/>
      <w:szCs w:val="28"/>
    </w:rPr>
  </w:style>
  <w:style w:type="character" w:styleId="986" w:customStyle="1">
    <w:name w:val="批注文字 Char1"/>
    <w:link w:val="952"/>
    <w:uiPriority w:val="0"/>
    <w:qFormat/>
    <w:rPr>
      <w:sz w:val="26"/>
    </w:rPr>
  </w:style>
  <w:style w:type="character" w:styleId="987" w:customStyle="1">
    <w:name w:val="批注主题 Char"/>
    <w:basedOn w:val="986"/>
    <w:link w:val="972"/>
    <w:uiPriority w:val="99"/>
    <w:qFormat/>
    <w:rPr>
      <w:sz w:val="26"/>
    </w:rPr>
  </w:style>
  <w:style w:type="character" w:styleId="988" w:customStyle="1">
    <w:name w:val="正文缩进 Char"/>
    <w:link w:val="951"/>
    <w:uiPriority w:val="0"/>
    <w:qFormat/>
    <w:rPr>
      <w:rFonts w:eastAsia="楷体_GB2312"/>
      <w:sz w:val="24"/>
    </w:rPr>
  </w:style>
  <w:style w:type="character" w:styleId="989" w:customStyle="1">
    <w:name w:val="正文首行缩进 2 Char"/>
    <w:basedOn w:val="990"/>
    <w:link w:val="973"/>
    <w:uiPriority w:val="0"/>
    <w:qFormat/>
    <w:rPr>
      <w:rFonts w:ascii="方正仿宋简体" w:hAnsi="创艺简仿宋" w:eastAsia="方正仿宋简体"/>
      <w:sz w:val="24"/>
    </w:rPr>
  </w:style>
  <w:style w:type="character" w:styleId="990" w:customStyle="1">
    <w:name w:val="正文文本缩进 Char"/>
    <w:link w:val="954"/>
    <w:uiPriority w:val="0"/>
    <w:qFormat/>
    <w:rPr>
      <w:rFonts w:ascii="方正仿宋简体" w:hAnsi="创艺简仿宋" w:eastAsia="方正仿宋简体"/>
      <w:sz w:val="24"/>
    </w:rPr>
  </w:style>
  <w:style w:type="character" w:styleId="991" w:customStyle="1">
    <w:name w:val="批注文字 Char"/>
    <w:uiPriority w:val="0"/>
    <w:qFormat/>
    <w:rPr>
      <w:sz w:val="26"/>
    </w:rPr>
  </w:style>
  <w:style w:type="character" w:styleId="992" w:customStyle="1">
    <w:name w:val="apple-converted-space"/>
    <w:basedOn w:val="947"/>
    <w:uiPriority w:val="0"/>
    <w:qFormat/>
  </w:style>
  <w:style w:type="character" w:styleId="993" w:customStyle="1">
    <w:name w:val="标题 1 字符"/>
    <w:uiPriority w:val="9"/>
    <w:qFormat/>
    <w:rPr>
      <w:b/>
      <w:sz w:val="44"/>
    </w:rPr>
  </w:style>
  <w:style w:type="paragraph" w:styleId="994" w:customStyle="1">
    <w:name w:val="表中"/>
    <w:basedOn w:val="942"/>
    <w:uiPriority w:val="0"/>
    <w:qFormat/>
    <w:pPr>
      <w:jc w:val="center"/>
      <w:spacing w:line="360" w:lineRule="atLeast"/>
    </w:pPr>
    <w:rPr>
      <w:rFonts w:eastAsia="宋体"/>
      <w:sz w:val="21"/>
    </w:rPr>
  </w:style>
  <w:style w:type="paragraph" w:styleId="995">
    <w:name w:val="List Paragraph"/>
    <w:basedOn w:val="942"/>
    <w:uiPriority w:val="34"/>
    <w:qFormat/>
    <w:pPr>
      <w:ind w:firstLine="420"/>
    </w:pPr>
  </w:style>
  <w:style w:type="paragraph" w:styleId="996" w:customStyle="1">
    <w:name w:val="Andy_正文"/>
    <w:basedOn w:val="942"/>
    <w:uiPriority w:val="0"/>
    <w:qFormat/>
    <w:pPr>
      <w:ind w:firstLine="480"/>
      <w:spacing w:line="360" w:lineRule="auto"/>
    </w:pPr>
    <w:rPr>
      <w:rFonts w:ascii="Calibri" w:hAnsi="Calibri"/>
      <w:sz w:val="28"/>
    </w:rPr>
  </w:style>
  <w:style w:type="paragraph" w:styleId="997" w:customStyle="1">
    <w:name w:val="正文首行缩进两字符"/>
    <w:basedOn w:val="942"/>
    <w:uiPriority w:val="0"/>
    <w:qFormat/>
    <w:pPr>
      <w:ind w:firstLine="200"/>
      <w:spacing w:line="360" w:lineRule="auto"/>
    </w:pPr>
    <w:rPr>
      <w:rFonts w:eastAsia="宋体"/>
      <w:sz w:val="21"/>
      <w:szCs w:val="24"/>
    </w:rPr>
  </w:style>
  <w:style w:type="paragraph" w:styleId="998" w:customStyle="1">
    <w:name w:val="纯文本1"/>
    <w:basedOn w:val="942"/>
    <w:next w:val="965"/>
    <w:uiPriority w:val="0"/>
    <w:qFormat/>
    <w:rPr>
      <w:rFonts w:ascii="宋体" w:hAnsi="Courier New"/>
    </w:rPr>
  </w:style>
  <w:style w:type="paragraph" w:styleId="999"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6"/>
      <w:szCs w:val="26"/>
      <w:lang w:val="en-US" w:eastAsia="zh-CN" w:bidi="ar-SA"/>
    </w:rPr>
  </w:style>
  <w:style w:type="paragraph" w:styleId="1000" w:customStyle="1">
    <w:name w:val="+正文 Char"/>
    <w:basedOn w:val="942"/>
    <w:uiPriority w:val="0"/>
    <w:qFormat/>
    <w:pPr>
      <w:ind w:firstLine="200"/>
      <w:spacing w:line="360" w:lineRule="auto"/>
    </w:pPr>
    <w:rPr>
      <w:rFonts w:eastAsia="宋体"/>
      <w:sz w:val="24"/>
    </w:rPr>
  </w:style>
  <w:style w:type="paragraph" w:styleId="1001" w:customStyle="1">
    <w:name w:val="Plain Text1"/>
    <w:basedOn w:val="942"/>
    <w:uiPriority w:val="99"/>
    <w:qFormat/>
    <w:rPr>
      <w:rFonts w:hAnsi="Courier New"/>
      <w:sz w:val="28"/>
    </w:rPr>
  </w:style>
  <w:style w:type="paragraph" w:styleId="1002" w:customStyle="1">
    <w:name w:val="纯文本2"/>
    <w:basedOn w:val="942"/>
    <w:uiPriority w:val="0"/>
    <w:qFormat/>
    <w:rPr>
      <w:rFonts w:ascii="宋体" w:hAnsi="Courier New" w:eastAsia="宋体"/>
    </w:rPr>
  </w:style>
  <w:style w:type="paragraph" w:styleId="1003" w:customStyle="1">
    <w:name w:val="标题3"/>
    <w:basedOn w:val="945"/>
    <w:uiPriority w:val="0"/>
    <w:qFormat/>
    <w:pPr>
      <w:contextualSpacing/>
      <w:jc w:val="center"/>
    </w:pPr>
    <w:rPr>
      <w:rFonts w:eastAsia="黑体" w:cs="宋体"/>
      <w:bCs/>
      <w:sz w:val="28"/>
    </w:rPr>
  </w:style>
  <w:style w:type="paragraph" w:styleId="1004" w:customStyle="1">
    <w:name w:val="_Style 30"/>
    <w:basedOn w:val="942"/>
    <w:next w:val="958"/>
    <w:uiPriority w:val="0"/>
    <w:qFormat/>
    <w:rPr>
      <w:rFonts w:ascii="宋体" w:hAnsi="Courier New"/>
    </w:rPr>
  </w:style>
  <w:style w:type="paragraph" w:styleId="1005" w:customStyle="1">
    <w:name w:val="纯文本3"/>
    <w:basedOn w:val="942"/>
    <w:uiPriority w:val="0"/>
    <w:qFormat/>
    <w:rPr>
      <w:rFonts w:ascii="宋体" w:hAnsi="Courier New" w:eastAsia="宋体"/>
    </w:rPr>
  </w:style>
  <w:style w:type="character" w:styleId="1006" w:customStyle="1">
    <w:name w:val="正文文本 Char"/>
    <w:basedOn w:val="947"/>
    <w:link w:val="953"/>
    <w:uiPriority w:val="0"/>
    <w:qFormat/>
    <w:rPr>
      <w:rFonts w:ascii="楷体_GB2312"/>
      <w:sz w:val="28"/>
    </w:rPr>
  </w:style>
  <w:style w:type="paragraph" w:styleId="1007" w:customStyle="1">
    <w:name w:val="纯文本4"/>
    <w:basedOn w:val="942"/>
    <w:uiPriority w:val="0"/>
    <w:qFormat/>
    <w:rPr>
      <w:rFonts w:ascii="宋体" w:hAnsi="Courier New" w:eastAsia="宋体"/>
    </w:rPr>
  </w:style>
  <w:style w:type="character" w:styleId="1008" w:customStyle="1">
    <w:name w:val="正文文本 2 Char"/>
    <w:basedOn w:val="947"/>
    <w:link w:val="969"/>
    <w:uiPriority w:val="0"/>
    <w:qFormat/>
    <w:rPr>
      <w:rFonts w:eastAsia="楷体_GB2312"/>
      <w:sz w:val="26"/>
    </w:rPr>
  </w:style>
  <w:style w:type="table" w:styleId="1009" w:customStyle="1">
    <w:name w:val="网格型1"/>
    <w:basedOn w:val="948"/>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0" w:customStyle="1">
    <w:name w:val="标题 2 Char"/>
    <w:link w:val="944"/>
    <w:uiPriority w:val="9"/>
    <w:qFormat/>
    <w:rPr>
      <w:rFonts w:ascii="宋体" w:hAnsi="宋体"/>
      <w:b/>
      <w:sz w:val="44"/>
    </w:rPr>
  </w:style>
  <w:style w:type="paragraph" w:styleId="1011" w:customStyle="1">
    <w:name w:val="p0"/>
    <w:basedOn w:val="942"/>
    <w:uiPriority w:val="0"/>
    <w:qFormat/>
    <w:rPr>
      <w:sz w:val="21"/>
      <w:szCs w:val="21"/>
    </w:rPr>
  </w:style>
  <w:style w:type="paragraph" w:styleId="1012" w:customStyle="1">
    <w:name w:val="纯文本5"/>
    <w:basedOn w:val="942"/>
    <w:uiPriority w:val="0"/>
    <w:qFormat/>
    <w:rPr>
      <w:rFonts w:ascii="宋体" w:hAnsi="Courier New"/>
    </w:rPr>
  </w:style>
  <w:style w:type="character" w:styleId="1013" w:customStyle="1">
    <w:name w:val="标题 1 Char"/>
    <w:basedOn w:val="947"/>
    <w:link w:val="943"/>
    <w:uiPriority w:val="0"/>
    <w:unhideWhenUsed/>
    <w:qFormat/>
    <w:rPr>
      <w:rFonts w:hint="default" w:ascii="Times New Roman" w:hAnsi="Times New Roman" w:eastAsia="宋体"/>
      <w:b/>
      <w:sz w:val="44"/>
    </w:rPr>
  </w:style>
  <w:style w:type="paragraph" w:styleId="1014" w:customStyle="1">
    <w:name w:val="纯文本512"/>
    <w:basedOn w:val="942"/>
    <w:uiPriority w:val="0"/>
    <w:unhideWhenUsed/>
    <w:qFormat/>
    <w:rPr>
      <w:rFonts w:hint="eastAsia" w:ascii="宋体" w:hAnsi="Courier New"/>
      <w:sz w:val="28"/>
    </w:rPr>
  </w:style>
  <w:style w:type="character" w:styleId="1015" w:customStyle="1">
    <w:name w:val="font41"/>
    <w:basedOn w:val="947"/>
    <w:uiPriority w:val="0"/>
    <w:qFormat/>
    <w:rPr>
      <w:rFonts w:hint="eastAsia" w:ascii="宋体" w:hAnsi="宋体" w:eastAsia="宋体" w:cs="宋体"/>
      <w:color w:val="ff0000"/>
      <w:sz w:val="22"/>
      <w:szCs w:val="22"/>
      <w:u w:val="none"/>
    </w:rPr>
  </w:style>
  <w:style w:type="paragraph" w:styleId="1016"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character" w:styleId="1017" w:customStyle="1">
    <w:name w:val="NormalCharacter"/>
    <w:uiPriority w:val="99"/>
    <w:semiHidden/>
    <w:qFormat/>
  </w:style>
  <w:style w:type="character" w:styleId="1018" w:customStyle="1">
    <w:name w:val="日期 Char"/>
    <w:basedOn w:val="947"/>
    <w:link w:val="959"/>
    <w:uiPriority w:val="0"/>
    <w:qFormat/>
    <w:rPr>
      <w:rFonts w:eastAsia="楷体_GB2312"/>
      <w:sz w:val="26"/>
    </w:rPr>
  </w:style>
  <w:style w:type="paragraph" w:styleId="1019" w:customStyle="1">
    <w:name w:val="纯文本511"/>
    <w:basedOn w:val="942"/>
    <w:uiPriority w:val="0"/>
    <w:unhideWhenUsed/>
    <w:qFormat/>
    <w:rPr>
      <w:rFonts w:hint="eastAsia" w:ascii="宋体" w:hAnsi="Courier New"/>
      <w:sz w:val="28"/>
    </w:rPr>
  </w:style>
  <w:style w:type="paragraph" w:styleId="1020" w:customStyle="1">
    <w:name w:val="纯文本51"/>
    <w:basedOn w:val="942"/>
    <w:uiPriority w:val="0"/>
    <w:unhideWhenUsed/>
    <w:qFormat/>
    <w:rPr>
      <w:rFonts w:hint="eastAsia" w:ascii="宋体" w:hAnsi="Courier New"/>
      <w:sz w:val="28"/>
    </w:rPr>
  </w:style>
  <w:style w:type="paragraph" w:styleId="1021" w:customStyle="1">
    <w:name w:val="Table Paragraph"/>
    <w:basedOn w:val="942"/>
    <w:uiPriority w:val="1"/>
    <w:qFormat/>
    <w:rPr>
      <w:rFonts w:ascii="宋体" w:hAnsi="宋体" w:eastAsia="宋体" w:cs="宋体"/>
      <w:lang w:val="zh-CN" w:bidi="zh-CN"/>
    </w:rPr>
  </w:style>
  <w:style w:type="character" w:styleId="1022" w:customStyle="1">
    <w:name w:val="font91"/>
    <w:basedOn w:val="947"/>
    <w:uiPriority w:val="0"/>
    <w:qFormat/>
    <w:rPr>
      <w:rFonts w:hint="eastAsia" w:ascii="宋体" w:hAnsi="宋体" w:eastAsia="宋体" w:cs="宋体"/>
      <w:color w:val="000000"/>
      <w:sz w:val="20"/>
      <w:szCs w:val="20"/>
      <w:u w:val="none"/>
    </w:rPr>
  </w:style>
  <w:style w:type="character" w:styleId="1023" w:customStyle="1">
    <w:name w:val="font11"/>
    <w:basedOn w:val="947"/>
    <w:uiPriority w:val="0"/>
    <w:qFormat/>
    <w:rPr>
      <w:rFonts w:hint="eastAsia" w:ascii="宋体" w:hAnsi="宋体" w:eastAsia="宋体" w:cs="宋体"/>
      <w:color w:val="000000"/>
      <w:sz w:val="20"/>
      <w:szCs w:val="20"/>
      <w:u w:val="none"/>
    </w:rPr>
  </w:style>
  <w:style w:type="character" w:styleId="1024" w:customStyle="1">
    <w:name w:val="font31"/>
    <w:basedOn w:val="947"/>
    <w:uiPriority w:val="0"/>
    <w:qFormat/>
    <w:rPr>
      <w:rFonts w:hint="eastAsia" w:ascii="宋体" w:hAnsi="宋体" w:eastAsia="宋体" w:cs="宋体"/>
      <w:color w:val="000000"/>
      <w:sz w:val="20"/>
      <w:szCs w:val="20"/>
      <w:u w:val="none"/>
    </w:rPr>
  </w:style>
  <w:style w:type="character" w:styleId="1025" w:customStyle="1">
    <w:name w:val="font21"/>
    <w:basedOn w:val="947"/>
    <w:uiPriority w:val="0"/>
    <w:qFormat/>
    <w:rPr>
      <w:rFonts w:hint="eastAsia" w:ascii="宋体" w:hAnsi="宋体" w:eastAsia="宋体" w:cs="宋体"/>
      <w:color w:val="000000"/>
      <w:sz w:val="20"/>
      <w:szCs w:val="20"/>
      <w:u w:val="none"/>
    </w:rPr>
  </w:style>
  <w:style w:type="character" w:styleId="1026" w:customStyle="1">
    <w:name w:val="font61"/>
    <w:basedOn w:val="947"/>
    <w:uiPriority w:val="0"/>
    <w:qFormat/>
    <w:rPr>
      <w:rFonts w:hint="eastAsia" w:ascii="宋体" w:hAnsi="宋体" w:eastAsia="宋体" w:cs="宋体"/>
      <w:color w:val="0000ff"/>
      <w:sz w:val="21"/>
      <w:szCs w:val="21"/>
      <w:u w:val="none"/>
    </w:rPr>
  </w:style>
  <w:style w:type="character" w:styleId="1027" w:customStyle="1">
    <w:name w:val="font71"/>
    <w:basedOn w:val="947"/>
    <w:uiPriority w:val="0"/>
    <w:qFormat/>
    <w:rPr>
      <w:rFonts w:ascii="Calibri" w:hAnsi="Calibri" w:cs="Calibri"/>
      <w:color w:val="0000ff"/>
      <w:sz w:val="21"/>
      <w:szCs w:val="21"/>
      <w:u w:val="none"/>
    </w:rPr>
  </w:style>
  <w:style w:type="character" w:styleId="1028" w:customStyle="1">
    <w:name w:val="font51"/>
    <w:basedOn w:val="947"/>
    <w:uiPriority w:val="0"/>
    <w:qFormat/>
    <w:rPr>
      <w:rFonts w:hint="eastAsia" w:ascii="宋体" w:hAnsi="宋体" w:eastAsia="宋体" w:cs="宋体"/>
      <w:color w:val="000000"/>
      <w:sz w:val="21"/>
      <w:szCs w:val="21"/>
      <w:u w:val="none"/>
    </w:rPr>
  </w:style>
  <w:style w:type="character" w:styleId="1029" w:customStyle="1">
    <w:name w:val="font81"/>
    <w:basedOn w:val="947"/>
    <w:uiPriority w:val="0"/>
    <w:qFormat/>
    <w:rPr>
      <w:rFonts w:hint="default" w:ascii="Calibri" w:hAnsi="Calibri" w:cs="Calibri"/>
      <w:color w:val="000000"/>
      <w:sz w:val="21"/>
      <w:szCs w:val="21"/>
      <w:u w:val="none"/>
    </w:rPr>
  </w:style>
  <w:style w:type="paragraph" w:styleId="1030" w:customStyle="1">
    <w:name w:val="列表段落1"/>
    <w:basedOn w:val="942"/>
    <w:uiPriority w:val="34"/>
    <w:qFormat/>
    <w:pPr>
      <w:ind w:firstLine="420"/>
    </w:pPr>
    <w:rPr>
      <w:rFonts w:asciiTheme="minorHAnsi" w:hAnsiTheme="minorHAnsi" w:eastAsiaTheme="minorEastAsia" w:cstheme="minorBidi"/>
      <w:sz w:val="21"/>
      <w:szCs w:val="22"/>
    </w:rPr>
  </w:style>
  <w:style w:type="character" w:styleId="1031" w:customStyle="1">
    <w:name w:val="f_zhengwen"/>
    <w:basedOn w:val="947"/>
    <w:uiPriority w:val="0"/>
    <w:qFormat/>
  </w:style>
  <w:style w:type="paragraph" w:styleId="1032" w:customStyle="1">
    <w:name w:val="并列项"/>
    <w:basedOn w:val="995"/>
    <w:uiPriority w:val="0"/>
    <w:qFormat/>
    <w:pPr>
      <w:numPr>
        <w:ilvl w:val="0"/>
        <w:numId w:val="1"/>
      </w:numPr>
      <w:contextualSpacing/>
      <w:ind w:left="420"/>
    </w:pPr>
    <w:rPr>
      <w:rFonts w:cs="Cambria" w:eastAsiaTheme="minorEastAsia"/>
      <w:sz w:val="21"/>
      <w:szCs w:val="22"/>
    </w:rPr>
  </w:style>
  <w:style w:type="character" w:styleId="1033" w:customStyle="1">
    <w:name w:val="页眉 Char"/>
    <w:basedOn w:val="947"/>
    <w:link w:val="963"/>
    <w:uiPriority w:val="99"/>
    <w:qFormat/>
    <w:rPr>
      <w:sz w:val="18"/>
    </w:rPr>
  </w:style>
  <w:style w:type="character" w:styleId="1034" w:customStyle="1">
    <w:name w:val="页脚 Char"/>
    <w:basedOn w:val="947"/>
    <w:link w:val="962"/>
    <w:uiPriority w:val="99"/>
    <w:qFormat/>
    <w:rPr>
      <w:sz w:val="18"/>
    </w:rPr>
  </w:style>
  <w:style w:type="paragraph" w:styleId="1035" w:customStyle="1">
    <w:name w:val="msonormal"/>
    <w:basedOn w:val="942"/>
    <w:uiPriority w:val="0"/>
    <w:qFormat/>
    <w:pPr>
      <w:jc w:val="left"/>
      <w:spacing w:before="100" w:beforeAutospacing="1" w:after="100" w:afterAutospacing="1"/>
      <w:widowControl/>
    </w:pPr>
    <w:rPr>
      <w:rFonts w:ascii="宋体" w:hAnsi="宋体" w:eastAsia="宋体" w:cs="宋体"/>
      <w:sz w:val="24"/>
      <w:szCs w:val="24"/>
    </w:rPr>
  </w:style>
  <w:style w:type="paragraph" w:styleId="1036" w:customStyle="1">
    <w:name w:val="font5"/>
    <w:basedOn w:val="942"/>
    <w:uiPriority w:val="0"/>
    <w:qFormat/>
    <w:pPr>
      <w:jc w:val="left"/>
      <w:spacing w:before="100" w:beforeAutospacing="1" w:after="100" w:afterAutospacing="1"/>
      <w:widowControl/>
    </w:pPr>
    <w:rPr>
      <w:rFonts w:ascii="等线" w:hAnsi="等线" w:eastAsia="等线" w:cs="宋体"/>
      <w:sz w:val="18"/>
      <w:szCs w:val="18"/>
    </w:rPr>
  </w:style>
  <w:style w:type="paragraph" w:styleId="1037" w:customStyle="1">
    <w:name w:val="font6"/>
    <w:basedOn w:val="942"/>
    <w:uiPriority w:val="0"/>
    <w:qFormat/>
    <w:pPr>
      <w:jc w:val="left"/>
      <w:spacing w:before="100" w:beforeAutospacing="1" w:after="100" w:afterAutospacing="1"/>
      <w:widowControl/>
    </w:pPr>
    <w:rPr>
      <w:rFonts w:ascii="等线" w:hAnsi="等线" w:eastAsia="等线" w:cs="宋体"/>
      <w:sz w:val="18"/>
      <w:szCs w:val="18"/>
    </w:rPr>
  </w:style>
  <w:style w:type="paragraph" w:styleId="1038" w:customStyle="1">
    <w:name w:val="font7"/>
    <w:basedOn w:val="942"/>
    <w:uiPriority w:val="0"/>
    <w:qFormat/>
    <w:pPr>
      <w:jc w:val="left"/>
      <w:spacing w:before="100" w:beforeAutospacing="1" w:after="100" w:afterAutospacing="1"/>
      <w:widowControl/>
    </w:pPr>
    <w:rPr>
      <w:rFonts w:ascii="等线" w:hAnsi="等线" w:eastAsia="等线" w:cs="宋体"/>
      <w:sz w:val="20"/>
    </w:rPr>
  </w:style>
  <w:style w:type="paragraph" w:styleId="1039" w:customStyle="1">
    <w:name w:val="font8"/>
    <w:basedOn w:val="942"/>
    <w:uiPriority w:val="0"/>
    <w:qFormat/>
    <w:pPr>
      <w:jc w:val="left"/>
      <w:spacing w:before="100" w:beforeAutospacing="1" w:after="100" w:afterAutospacing="1"/>
      <w:widowControl/>
    </w:pPr>
    <w:rPr>
      <w:rFonts w:ascii="Arial" w:hAnsi="Arial" w:eastAsia="宋体" w:cs="Arial"/>
      <w:sz w:val="20"/>
    </w:rPr>
  </w:style>
  <w:style w:type="paragraph" w:styleId="1040" w:customStyle="1">
    <w:name w:val="font9"/>
    <w:basedOn w:val="942"/>
    <w:uiPriority w:val="0"/>
    <w:qFormat/>
    <w:pPr>
      <w:jc w:val="left"/>
      <w:spacing w:before="100" w:beforeAutospacing="1" w:after="100" w:afterAutospacing="1"/>
      <w:widowControl/>
    </w:pPr>
    <w:rPr>
      <w:rFonts w:ascii="等线" w:hAnsi="等线" w:eastAsia="等线" w:cs="宋体"/>
      <w:color w:val="ff0000"/>
      <w:sz w:val="20"/>
    </w:rPr>
  </w:style>
  <w:style w:type="paragraph" w:styleId="1041" w:customStyle="1">
    <w:name w:val="font10"/>
    <w:basedOn w:val="942"/>
    <w:uiPriority w:val="0"/>
    <w:qFormat/>
    <w:pPr>
      <w:jc w:val="left"/>
      <w:spacing w:before="100" w:beforeAutospacing="1" w:after="100" w:afterAutospacing="1"/>
      <w:widowControl/>
    </w:pPr>
    <w:rPr>
      <w:rFonts w:ascii="等线" w:hAnsi="等线" w:eastAsia="等线" w:cs="宋体"/>
      <w:sz w:val="20"/>
    </w:rPr>
  </w:style>
  <w:style w:type="paragraph" w:styleId="1042" w:customStyle="1">
    <w:name w:val="font12"/>
    <w:basedOn w:val="942"/>
    <w:uiPriority w:val="0"/>
    <w:qFormat/>
    <w:pPr>
      <w:jc w:val="left"/>
      <w:spacing w:before="100" w:beforeAutospacing="1" w:after="100" w:afterAutospacing="1"/>
      <w:widowControl/>
    </w:pPr>
    <w:rPr>
      <w:rFonts w:ascii="等线" w:hAnsi="等线" w:eastAsia="等线" w:cs="宋体"/>
      <w:color w:val="000000"/>
      <w:sz w:val="20"/>
    </w:rPr>
  </w:style>
  <w:style w:type="paragraph" w:styleId="1043" w:customStyle="1">
    <w:name w:val="font13"/>
    <w:basedOn w:val="942"/>
    <w:uiPriority w:val="0"/>
    <w:qFormat/>
    <w:pPr>
      <w:jc w:val="left"/>
      <w:spacing w:before="100" w:beforeAutospacing="1" w:after="100" w:afterAutospacing="1"/>
      <w:widowControl/>
    </w:pPr>
    <w:rPr>
      <w:rFonts w:ascii="等线" w:hAnsi="等线" w:eastAsia="等线" w:cs="宋体"/>
      <w:color w:val="00b050"/>
      <w:sz w:val="20"/>
    </w:rPr>
  </w:style>
  <w:style w:type="paragraph" w:styleId="1044" w:customStyle="1">
    <w:name w:val="font14"/>
    <w:basedOn w:val="942"/>
    <w:uiPriority w:val="0"/>
    <w:qFormat/>
    <w:pPr>
      <w:jc w:val="left"/>
      <w:spacing w:before="100" w:beforeAutospacing="1" w:after="100" w:afterAutospacing="1"/>
      <w:widowControl/>
    </w:pPr>
    <w:rPr>
      <w:rFonts w:ascii="宋体" w:hAnsi="宋体" w:eastAsia="宋体" w:cs="宋体"/>
      <w:b/>
      <w:bCs/>
      <w:sz w:val="18"/>
      <w:szCs w:val="18"/>
    </w:rPr>
  </w:style>
  <w:style w:type="paragraph" w:styleId="1045" w:customStyle="1">
    <w:name w:val="font15"/>
    <w:basedOn w:val="942"/>
    <w:uiPriority w:val="0"/>
    <w:qFormat/>
    <w:pPr>
      <w:jc w:val="left"/>
      <w:spacing w:before="100" w:beforeAutospacing="1" w:after="100" w:afterAutospacing="1"/>
      <w:widowControl/>
    </w:pPr>
    <w:rPr>
      <w:rFonts w:ascii="宋体" w:hAnsi="宋体" w:eastAsia="宋体" w:cs="宋体"/>
      <w:sz w:val="18"/>
      <w:szCs w:val="18"/>
    </w:rPr>
  </w:style>
  <w:style w:type="paragraph" w:styleId="1046" w:customStyle="1">
    <w:name w:val="xl72"/>
    <w:basedOn w:val="942"/>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047" w:customStyle="1">
    <w:name w:val="xl73"/>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48" w:customStyle="1">
    <w:name w:val="xl74"/>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49" w:customStyle="1">
    <w:name w:val="xl75"/>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50" w:customStyle="1">
    <w:name w:val="xl76"/>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51" w:customStyle="1">
    <w:name w:val="xl77"/>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52" w:customStyle="1">
    <w:name w:val="xl78"/>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53" w:customStyle="1">
    <w:name w:val="xl79"/>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54" w:customStyle="1">
    <w:name w:val="xl80"/>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55" w:customStyle="1">
    <w:name w:val="xl81"/>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56" w:customStyle="1">
    <w:name w:val="xl82"/>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57" w:customStyle="1">
    <w:name w:val="xl83"/>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58" w:customStyle="1">
    <w:name w:val="xl84"/>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59" w:customStyle="1">
    <w:name w:val="xl85"/>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60" w:customStyle="1">
    <w:name w:val="xl86"/>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61" w:customStyle="1">
    <w:name w:val="xl87"/>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62" w:customStyle="1">
    <w:name w:val="xl88"/>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63" w:customStyle="1">
    <w:name w:val="xl89"/>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64" w:customStyle="1">
    <w:name w:val="xl90"/>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65" w:customStyle="1">
    <w:name w:val="xl91"/>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66" w:customStyle="1">
    <w:name w:val="xl92"/>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67" w:customStyle="1">
    <w:name w:val="xl93"/>
    <w:basedOn w:val="942"/>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068" w:customStyle="1">
    <w:name w:val="xl94"/>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69" w:customStyle="1">
    <w:name w:val="xl95"/>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b050"/>
      <w:sz w:val="20"/>
    </w:rPr>
  </w:style>
  <w:style w:type="paragraph" w:styleId="1070" w:customStyle="1">
    <w:name w:val="xl96"/>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71" w:customStyle="1">
    <w:name w:val="xl97"/>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2" w:customStyle="1">
    <w:name w:val="xl98"/>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3" w:customStyle="1">
    <w:name w:val="xl99"/>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4" w:customStyle="1">
    <w:name w:val="xl100"/>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75" w:customStyle="1">
    <w:name w:val="xl101"/>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76" w:customStyle="1">
    <w:name w:val="xl102"/>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77" w:customStyle="1">
    <w:name w:val="xl103"/>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8" w:customStyle="1">
    <w:name w:val="xl104"/>
    <w:basedOn w:val="942"/>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079" w:customStyle="1">
    <w:name w:val="xl105"/>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0" w:customStyle="1">
    <w:name w:val="xl106"/>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1" w:customStyle="1">
    <w:name w:val="xl107"/>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2" w:customStyle="1">
    <w:name w:val="xl108"/>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3" w:customStyle="1">
    <w:name w:val="xl109"/>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ff0000"/>
      <w:sz w:val="20"/>
    </w:rPr>
  </w:style>
  <w:style w:type="paragraph" w:styleId="1084" w:customStyle="1">
    <w:name w:val="xl110"/>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5" w:customStyle="1">
    <w:name w:val="xl111"/>
    <w:basedOn w:val="9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6" w:customStyle="1">
    <w:name w:val="xl112"/>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7" w:customStyle="1">
    <w:name w:val="xl113"/>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8" w:customStyle="1">
    <w:name w:val="xl114"/>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9" w:customStyle="1">
    <w:name w:val="xl115"/>
    <w:basedOn w:val="9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90" w:customStyle="1">
    <w:name w:val="Table Text"/>
    <w:basedOn w:val="942"/>
    <w:link w:val="1091"/>
    <w:uiPriority w:val="0"/>
    <w:qFormat/>
    <w:pPr>
      <w:jc w:val="left"/>
      <w:spacing w:before="80" w:after="80" w:line="240" w:lineRule="atLeast"/>
    </w:pPr>
    <w:rPr>
      <w:rFonts w:eastAsia="宋体" w:cs="Arial"/>
      <w:sz w:val="24"/>
      <w:szCs w:val="21"/>
      <w:lang w:val="en-GB"/>
    </w:rPr>
  </w:style>
  <w:style w:type="character" w:styleId="1091" w:customStyle="1">
    <w:name w:val="Table Text Char"/>
    <w:link w:val="1090"/>
    <w:uiPriority w:val="0"/>
    <w:qFormat/>
    <w:rPr>
      <w:rFonts w:cs="Arial"/>
      <w:sz w:val="24"/>
      <w:szCs w:val="21"/>
      <w:lang w:val="en-GB"/>
    </w:rPr>
  </w:style>
  <w:style w:type="paragraph" w:styleId="1092" w:customStyle="1">
    <w:name w:val="TOC 标题1"/>
    <w:basedOn w:val="943"/>
    <w:next w:val="942"/>
    <w:uiPriority w:val="39"/>
    <w:unhideWhenUsed/>
    <w:qFormat/>
    <w:pPr>
      <w:jc w:val="left"/>
      <w:spacing w:before="240" w:after="0" w:line="259" w:lineRule="auto"/>
      <w:widowControl/>
      <w:outlineLvl w:val="9"/>
    </w:pPr>
    <w:rPr>
      <w:rFonts w:asciiTheme="majorHAnsi" w:hAnsiTheme="majorHAnsi" w:eastAsiaTheme="majorEastAsia" w:cstheme="majorBidi"/>
      <w:b w:val="0"/>
      <w:color w:val="2f5597" w:themeColor="accent1" w:themeShade="BF"/>
      <w:sz w:val="32"/>
      <w:szCs w:val="32"/>
      <w:lang w:val="en-US"/>
    </w:rPr>
  </w:style>
  <w:style w:type="character" w:styleId="1093" w:customStyle="1">
    <w:name w:val="纯文本 Char"/>
    <w:link w:val="958"/>
    <w:uiPriority w:val="0"/>
    <w:qFormat/>
    <w:rPr>
      <w:rFonts w:ascii="宋体" w:hAnsi="Courier New" w:eastAsia="楷体_GB2312"/>
      <w:sz w:val="26"/>
    </w:rPr>
  </w:style>
  <w:style w:type="character" w:styleId="1094" w:customStyle="1">
    <w:name w:val="HTML 预设格式 Char"/>
    <w:basedOn w:val="947"/>
    <w:link w:val="970"/>
    <w:uiPriority w:val="0"/>
    <w:qFormat/>
    <w:rPr>
      <w:rFonts w:ascii="等线" w:hAnsi="等线" w:eastAsia="黑体"/>
      <w:sz w:val="18"/>
      <w:szCs w:val="18"/>
    </w:rPr>
  </w:style>
  <w:style w:type="paragraph" w:styleId="1095" w:customStyle="1">
    <w:name w:val="1"/>
    <w:basedOn w:val="942"/>
    <w:next w:val="995"/>
    <w:uiPriority w:val="0"/>
    <w:qFormat/>
    <w:pPr>
      <w:ind w:firstLine="420"/>
    </w:pPr>
    <w:rPr>
      <w:rFonts w:ascii="Calibri" w:hAnsi="Calibri" w:eastAsia="宋体"/>
      <w:sz w:val="21"/>
      <w:szCs w:val="22"/>
    </w:rPr>
  </w:style>
  <w:style w:type="character" w:styleId="1096" w:customStyle="1">
    <w:name w:val="font01"/>
    <w:basedOn w:val="947"/>
    <w:uiPriority w:val="0"/>
    <w:qFormat/>
    <w:rPr>
      <w:rFonts w:hint="eastAsia" w:ascii="宋体" w:hAnsi="宋体" w:eastAsia="宋体" w:cs="宋体"/>
      <w:color w:val="000000"/>
      <w:sz w:val="20"/>
      <w:szCs w:val="20"/>
      <w:u w:val="none"/>
    </w:rPr>
  </w:style>
  <w:style w:type="paragraph" w:styleId="1097" w:customStyle="1">
    <w:name w:val="Plain Text_a595273a-45c7-417f-9d8c-416186080f07"/>
    <w:basedOn w:val="942"/>
    <w:uiPriority w:val="0"/>
    <w:qFormat/>
    <w:rPr>
      <w:rFonts w:ascii="宋体" w:hAnsi="Courier New"/>
    </w:rPr>
  </w:style>
  <w:style w:type="character" w:styleId="1098" w:customStyle="1">
    <w:name w:val="脚注文本 Char"/>
    <w:basedOn w:val="947"/>
    <w:link w:val="967"/>
    <w:uiPriority w:val="0"/>
    <w:qFormat/>
  </w:style>
  <w:style w:type="paragraph" w:styleId="1099" w:customStyle="1">
    <w:name w:val="正文11"/>
    <w:next w:val="1100"/>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标题 11"/>
    <w:next w:val="1099"/>
    <w:uiPriority w:val="99"/>
    <w:qFormat/>
    <w:pPr>
      <w:jc w:val="center"/>
      <w:keepLines/>
      <w:keepNext/>
      <w:spacing w:before="156" w:after="156"/>
      <w:widowControl w:val="off"/>
      <w:tabs>
        <w:tab w:val="left" w:pos="1134" w:leader="none"/>
      </w:tabs>
      <w:framePr w:wrap="around" w:vAnchor="margin" w:hAnchor="text" w:y="1"/>
      <w:outlineLvl w:val="0"/>
    </w:pPr>
    <w:rPr>
      <w:rFonts w:ascii="宋体" w:hAnsi="宋体" w:eastAsia="宋体" w:cs="宋体"/>
      <w:b/>
      <w:bCs/>
      <w:color w:val="000000"/>
      <w:sz w:val="21"/>
      <w:szCs w:val="21"/>
      <w:lang w:val="en-US" w:eastAsia="zh-CN" w:bidi="ar-SA"/>
    </w:rPr>
  </w:style>
  <w:style w:type="paragraph" w:styleId="1101" w:customStyle="1">
    <w:name w:val="7"/>
    <w:basedOn w:val="1099"/>
    <w:next w:val="1102"/>
    <w:uiPriority w:val="0"/>
    <w:qFormat/>
    <w:pPr>
      <w:jc w:val="left"/>
      <w:spacing w:before="100" w:beforeAutospacing="1" w:after="100" w:afterAutospacing="1"/>
      <w:widowControl/>
    </w:pPr>
    <w:rPr>
      <w:rFonts w:ascii="宋体" w:hAnsi="宋体"/>
      <w:sz w:val="24"/>
      <w:szCs w:val="20"/>
    </w:rPr>
  </w:style>
  <w:style w:type="paragraph" w:styleId="1102" w:customStyle="1">
    <w:name w:val="普通(网站)11"/>
    <w:basedOn w:val="1099"/>
    <w:uiPriority w:val="0"/>
    <w:qFormat/>
    <w:pPr>
      <w:jc w:val="left"/>
      <w:spacing w:before="100" w:beforeAutospacing="1" w:after="100" w:afterAutospacing="1"/>
      <w:widowControl/>
    </w:pPr>
    <w:rPr>
      <w:rFonts w:ascii="宋体" w:hAnsi="宋体"/>
      <w:sz w:val="24"/>
    </w:rPr>
  </w:style>
  <w:style w:type="paragraph" w:styleId="1103" w:customStyle="1">
    <w:name w:val="Plain Text"/>
    <w:uiPriority w:val="0"/>
    <w:qFormat/>
    <w:pPr>
      <w:jc w:val="both"/>
      <w:widowControl w:val="off"/>
    </w:pPr>
    <w:rPr>
      <w:rFonts w:ascii="宋体" w:hAnsi="Courier New" w:eastAsia="楷体_GB2312" w:cs="Times New Roman"/>
      <w:sz w:val="28"/>
      <w:szCs w:val="20"/>
      <w:lang w:val="en-US" w:eastAsia="zh-CN" w:bidi="ar-SA"/>
    </w:rPr>
  </w:style>
  <w:style w:type="paragraph" w:styleId="1104" w:customStyle="1">
    <w:name w:val="列出段落1"/>
    <w:uiPriority w:val="0"/>
    <w:qFormat/>
    <w:pPr>
      <w:ind w:firstLine="420"/>
      <w:jc w:val="both"/>
      <w:widowControl w:val="off"/>
    </w:pPr>
    <w:rPr>
      <w:rFonts w:ascii="Calibri" w:hAnsi="Calibri" w:eastAsia="宋体" w:cs="Times New Roman"/>
      <w:sz w:val="21"/>
      <w:szCs w:val="20"/>
      <w:lang w:val="en-US" w:eastAsia="zh-CN" w:bidi="ar-SA"/>
    </w:rPr>
  </w:style>
  <w:style w:type="paragraph" w:styleId="1105" w:customStyle="1">
    <w:name w:val="Char Char Char Char Char Char Char"/>
    <w:uiPriority w:val="0"/>
    <w:qFormat/>
    <w:pPr>
      <w:ind w:firstLine="480"/>
      <w:jc w:val="both"/>
      <w:spacing w:line="360" w:lineRule="auto"/>
      <w:widowControl w:val="off"/>
    </w:pPr>
    <w:rPr>
      <w:rFonts w:ascii="Tahoma" w:hAnsi="Tahoma" w:eastAsia="宋体" w:cs="Times New Roman"/>
      <w:sz w:val="21"/>
      <w:szCs w:val="20"/>
      <w:lang w:val="en-US" w:eastAsia="zh-CN" w:bidi="ar-SA"/>
    </w:rPr>
  </w:style>
  <w:style w:type="table" w:styleId="1106"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paragraph" w:styleId="1107" w:customStyle="1">
    <w:name w:val="正文缩进11"/>
    <w:basedOn w:val="942"/>
    <w:next w:val="942"/>
    <w:uiPriority w:val="0"/>
    <w:qFormat/>
    <w:pPr>
      <w:ind w:firstLine="420"/>
      <w:jc w:val="left"/>
    </w:pPr>
    <w:rPr>
      <w:rFonts w:eastAsia="楷体_GB2312"/>
      <w:sz w:val="24"/>
      <w:szCs w:val="20"/>
    </w:rPr>
  </w:style>
  <w:style w:type="paragraph" w:styleId="1108" w:customStyle="1">
    <w:name w:val="正文文本缩进 31"/>
    <w:basedOn w:val="942"/>
    <w:uiPriority w:val="0"/>
    <w:qFormat/>
    <w:pPr>
      <w:ind w:firstLine="617"/>
      <w:spacing w:line="360" w:lineRule="auto"/>
    </w:pPr>
    <w:rPr>
      <w:sz w:val="24"/>
      <w:szCs w:val="24"/>
    </w:rPr>
  </w:style>
  <w:style w:type="paragraph" w:styleId="1109" w:customStyle="1">
    <w:name w:val="页脚1"/>
    <w:basedOn w:val="942"/>
    <w:uiPriority w:val="99"/>
    <w:qFormat/>
    <w:pPr>
      <w:jc w:val="left"/>
      <w:tabs>
        <w:tab w:val="center" w:pos="4153" w:leader="none"/>
        <w:tab w:val="right" w:pos="8306" w:leader="none"/>
      </w:tabs>
    </w:pPr>
    <w:rPr>
      <w:rFonts w:ascii="Calibri" w:hAnsi="Calibri"/>
      <w:sz w:val="18"/>
      <w:szCs w:val="18"/>
    </w:rPr>
  </w:style>
  <w:style w:type="character" w:styleId="1110" w:customStyle="1">
    <w:name w:val="页码1"/>
    <w:basedOn w:val="1111"/>
    <w:uiPriority w:val="99"/>
    <w:unhideWhenUsed/>
    <w:qFormat/>
  </w:style>
  <w:style w:type="character" w:styleId="1111" w:customStyle="1">
    <w:name w:val="默认段落字体1"/>
    <w:uiPriority w:val="1"/>
    <w:unhideWhenUsed/>
    <w:qFormat/>
  </w:style>
  <w:style w:type="character" w:styleId="1112" w:customStyle="1">
    <w:name w:val="font101"/>
    <w:basedOn w:val="947"/>
    <w:uiPriority w:val="0"/>
    <w:rPr>
      <w:rFonts w:ascii="Droid Sans Fallback" w:hAnsi="Droid Sans Fallback" w:eastAsia="Droid Sans Fallback" w:cs="Droid Sans Fallback"/>
      <w:color w:val="ff0000"/>
      <w:sz w:val="16"/>
      <w:szCs w:val="16"/>
      <w:u w:val="none"/>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43062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43064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43064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43064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43064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苏州爱达招投标有限公司</cp:lastModifiedBy>
  <cp:revision>26</cp:revision>
  <dcterms:created xsi:type="dcterms:W3CDTF">2022-08-11T00:48:00Z</dcterms:created>
  <dcterms:modified xsi:type="dcterms:W3CDTF">2026-07-15T06:40:03Z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43A38B9493A449768891965BF9CECC18_13</vt:lpwstr>
  </property>
  <property fmtid="{D5CDD505-2E9C-101B-9397-08002B2CF9AE}" pid="4" name="KSOTemplateDocerSaveRecord">
    <vt:lpwstr>eyJoZGlkIjoiNDM0YWZkOTE2ZmM4MmEyNjE5Zjg5MWZlNTBjZGViNWYiLCJ1c2VySWQiOiIyNjEyNzk2NDEifQ==</vt:lpwstr>
  </property>
</Properties>
</file>